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8B4EA" w14:textId="445ADF02" w:rsidR="003F58A4" w:rsidRPr="008F3DEF" w:rsidRDefault="00465BBD" w:rsidP="008F1F96">
      <w:pPr>
        <w:rPr>
          <w:rFonts w:ascii="Times New Roman" w:eastAsia="Times New Roman" w:hAnsi="Times New Roman" w:cs="Times New Roman"/>
          <w:sz w:val="24"/>
          <w:szCs w:val="24"/>
          <w:lang w:val="es-US"/>
        </w:rPr>
      </w:pPr>
      <w:r w:rsidRPr="008F3DEF">
        <w:rPr>
          <w:rFonts w:ascii="Times New Roman" w:hAnsi="Times New Roman"/>
          <w:sz w:val="24"/>
          <w:lang w:val="es-US"/>
        </w:rPr>
        <w:t>La Junta Estatal de Odontólogos (Junta) propone esta derogación de la regla 115 del título 22 del TEC  con respecto al comité asesor de higiene dental. La derogación propuesta implementa el Proyecto de Ley del Senado 313 de la 85</w:t>
      </w:r>
      <w:r w:rsidRPr="008F3DEF">
        <w:rPr>
          <w:rFonts w:ascii="Times New Roman" w:hAnsi="Times New Roman"/>
          <w:sz w:val="24"/>
          <w:vertAlign w:val="superscript"/>
          <w:lang w:val="es-US"/>
        </w:rPr>
        <w:t>ta</w:t>
      </w:r>
      <w:r w:rsidRPr="008F3DEF">
        <w:rPr>
          <w:rFonts w:ascii="Times New Roman" w:hAnsi="Times New Roman"/>
          <w:sz w:val="24"/>
          <w:lang w:val="es-US"/>
        </w:rPr>
        <w:t xml:space="preserve"> Legislatura de Texas, Sesión Ordinaria (2017). El proyecto de ley derogó el Subcapítulo B, Capítulo 262 del Código de Ocupaciones de Texas, que pertenecía al comité asesor de higiene dental. La Junta ya no utiliza el comité. </w:t>
      </w:r>
    </w:p>
    <w:p w14:paraId="71815942" w14:textId="77777777" w:rsidR="006F034A" w:rsidRPr="008F3DEF" w:rsidRDefault="006F034A" w:rsidP="00465BBD">
      <w:pPr>
        <w:spacing w:after="0" w:line="240" w:lineRule="auto"/>
        <w:rPr>
          <w:rFonts w:ascii="Times New Roman" w:hAnsi="Times New Roman" w:cs="Times New Roman"/>
          <w:sz w:val="24"/>
          <w:szCs w:val="24"/>
          <w:lang w:val="es-US"/>
        </w:rPr>
      </w:pPr>
    </w:p>
    <w:p w14:paraId="0A4A3A88" w14:textId="6D2A2165" w:rsidR="00465BBD" w:rsidRPr="008F3DEF" w:rsidRDefault="00465BBD" w:rsidP="00465BBD">
      <w:pPr>
        <w:spacing w:after="0" w:line="240" w:lineRule="auto"/>
        <w:rPr>
          <w:rFonts w:ascii="Times New Roman" w:hAnsi="Times New Roman" w:cs="Times New Roman"/>
          <w:sz w:val="24"/>
          <w:szCs w:val="24"/>
          <w:lang w:val="es-US"/>
        </w:rPr>
      </w:pPr>
      <w:r w:rsidRPr="008F3DEF">
        <w:rPr>
          <w:rFonts w:ascii="Times New Roman" w:hAnsi="Times New Roman"/>
          <w:sz w:val="24"/>
          <w:lang w:val="es-US"/>
        </w:rPr>
        <w:t xml:space="preserve">NOTA FISCAL: Casey Nichols, Directora Ejecutiva, ha determinado que en el primer período de cinco años en que esté vigente la derogación propuesta, la derogación propuesta no tiene implicancias previsibles con respecto al costo o las rentas del estado o los gobiernos locales. </w:t>
      </w:r>
    </w:p>
    <w:p w14:paraId="5CB42921" w14:textId="77777777" w:rsidR="00465BBD" w:rsidRPr="008F3DEF" w:rsidRDefault="00465BBD" w:rsidP="00465BBD">
      <w:pPr>
        <w:spacing w:after="0" w:line="240" w:lineRule="auto"/>
        <w:rPr>
          <w:rFonts w:ascii="Times New Roman" w:hAnsi="Times New Roman" w:cs="Times New Roman"/>
          <w:sz w:val="24"/>
          <w:szCs w:val="24"/>
          <w:lang w:val="es-US"/>
        </w:rPr>
      </w:pPr>
    </w:p>
    <w:p w14:paraId="069AB9E6" w14:textId="77777777" w:rsidR="00465BBD" w:rsidRPr="008F3DEF" w:rsidRDefault="00465BBD" w:rsidP="00465BBD">
      <w:pPr>
        <w:spacing w:after="0" w:line="240" w:lineRule="auto"/>
        <w:rPr>
          <w:rFonts w:ascii="Times New Roman" w:hAnsi="Times New Roman" w:cs="Times New Roman"/>
          <w:sz w:val="24"/>
          <w:szCs w:val="24"/>
          <w:lang w:val="es-US"/>
        </w:rPr>
      </w:pPr>
      <w:r w:rsidRPr="008F3DEF">
        <w:rPr>
          <w:rFonts w:ascii="Times New Roman" w:hAnsi="Times New Roman"/>
          <w:sz w:val="24"/>
          <w:lang w:val="es-US"/>
        </w:rPr>
        <w:t xml:space="preserve">NOTA PÚBLICA DE COSTOS Y BENEFICIOS: Casey Nichols también ha determinado que en el período inicial de cinco años en que esté vigente la derogación propuesta, el beneficio público esperado como resultado de esta derogación propuesta será la eliminación de una norma que no es consistente con la legislación estatal. </w:t>
      </w:r>
    </w:p>
    <w:p w14:paraId="78DA5709" w14:textId="77777777" w:rsidR="00465BBD" w:rsidRPr="008F3DEF" w:rsidRDefault="00465BBD" w:rsidP="00465BBD">
      <w:pPr>
        <w:spacing w:after="0" w:line="240" w:lineRule="auto"/>
        <w:rPr>
          <w:rFonts w:ascii="Times New Roman" w:hAnsi="Times New Roman" w:cs="Times New Roman"/>
          <w:sz w:val="24"/>
          <w:szCs w:val="24"/>
          <w:lang w:val="es-US"/>
        </w:rPr>
      </w:pPr>
    </w:p>
    <w:p w14:paraId="6B49F418" w14:textId="77777777" w:rsidR="00465BBD" w:rsidRPr="008F3DEF" w:rsidRDefault="00465BBD" w:rsidP="00465BBD">
      <w:pPr>
        <w:spacing w:after="0" w:line="240" w:lineRule="auto"/>
        <w:rPr>
          <w:rFonts w:ascii="Times New Roman" w:hAnsi="Times New Roman" w:cs="Times New Roman"/>
          <w:sz w:val="24"/>
          <w:szCs w:val="24"/>
          <w:lang w:val="es-US"/>
        </w:rPr>
      </w:pPr>
      <w:r w:rsidRPr="008F3DEF">
        <w:rPr>
          <w:rFonts w:ascii="Times New Roman" w:hAnsi="Times New Roman"/>
          <w:sz w:val="24"/>
          <w:lang w:val="es-US"/>
        </w:rPr>
        <w:t xml:space="preserve">DECLARACIÓN DE IMPACTO SOBRE EL EMPLEO LOCAL: Casey Nichols también ha determinado que la derogación propuesta no afecta las economías y el empleo locales. </w:t>
      </w:r>
    </w:p>
    <w:p w14:paraId="0F26386E" w14:textId="77777777" w:rsidR="00465BBD" w:rsidRPr="008F3DEF" w:rsidRDefault="00465BBD" w:rsidP="00465BBD">
      <w:pPr>
        <w:spacing w:after="0" w:line="240" w:lineRule="auto"/>
        <w:rPr>
          <w:rFonts w:ascii="Times New Roman" w:hAnsi="Times New Roman" w:cs="Times New Roman"/>
          <w:sz w:val="24"/>
          <w:szCs w:val="24"/>
          <w:lang w:val="es-US"/>
        </w:rPr>
      </w:pPr>
    </w:p>
    <w:p w14:paraId="484F833E" w14:textId="04501F73" w:rsidR="00465BBD" w:rsidRPr="008F3DEF" w:rsidRDefault="00465BBD" w:rsidP="00465BBD">
      <w:pPr>
        <w:spacing w:after="0" w:line="240" w:lineRule="auto"/>
        <w:rPr>
          <w:rFonts w:ascii="Times New Roman" w:hAnsi="Times New Roman" w:cs="Times New Roman"/>
          <w:sz w:val="24"/>
          <w:szCs w:val="24"/>
          <w:lang w:val="es-US"/>
        </w:rPr>
      </w:pPr>
      <w:r w:rsidRPr="008F3DEF">
        <w:rPr>
          <w:rFonts w:ascii="Times New Roman" w:hAnsi="Times New Roman"/>
          <w:sz w:val="24"/>
          <w:lang w:val="es-US"/>
        </w:rPr>
        <w:t xml:space="preserve">DECLARACIÓN DE IMPACTO SOBRE LAS PEQUEÑAS Y MICROEMPRESAS Y LA COMUNIDAD RURAL: Casey Nichols ha determinado que no es necesaria una declaración de impacto económico y análisis de flexibilidad regulatorio para pequeñas empresas, microempresas y comunidades rurales para esta derogación propuesta. </w:t>
      </w:r>
    </w:p>
    <w:p w14:paraId="2D6AAC9A" w14:textId="77777777" w:rsidR="00465BBD" w:rsidRPr="008F3DEF" w:rsidRDefault="00465BBD" w:rsidP="00465BBD">
      <w:pPr>
        <w:spacing w:after="0" w:line="240" w:lineRule="auto"/>
        <w:rPr>
          <w:rFonts w:ascii="Times New Roman" w:hAnsi="Times New Roman" w:cs="Times New Roman"/>
          <w:sz w:val="24"/>
          <w:szCs w:val="24"/>
          <w:lang w:val="es-US"/>
        </w:rPr>
      </w:pPr>
    </w:p>
    <w:p w14:paraId="706C69EE" w14:textId="77777777" w:rsidR="00465BBD" w:rsidRPr="008F3DEF" w:rsidRDefault="00465BBD" w:rsidP="00465BBD">
      <w:pPr>
        <w:spacing w:after="0" w:line="240" w:lineRule="auto"/>
        <w:rPr>
          <w:rFonts w:ascii="Times New Roman" w:hAnsi="Times New Roman" w:cs="Times New Roman"/>
          <w:sz w:val="24"/>
          <w:szCs w:val="24"/>
          <w:lang w:val="es-US"/>
        </w:rPr>
      </w:pPr>
      <w:r w:rsidRPr="008F3DEF">
        <w:rPr>
          <w:rFonts w:ascii="Times New Roman" w:hAnsi="Times New Roman"/>
          <w:sz w:val="24"/>
          <w:lang w:val="es-US"/>
        </w:rPr>
        <w:t xml:space="preserve">DECLARACIÓN DE IMPACTO SOBRE EL CRECIMIENTO DEL GOBIERNO: La Junta ha determinado que, durante el primer período de cinco años en que esté vigente la regla, se aplicarían los siguientes efectos sobre el crecimiento gubernamental: (1) la derogación propuesta no crea ni elimina un programa gubernamental; (2) la aplicación de la derogación propuesta no requiere la creación o eliminación de puestos de empleados; (3) la aplicación de la derogación propuesta no requiere un aumento o disminución de las apropiaciones futuras; (4) la derogación propuesta no exige un aumento de las tasas pagadas a la agencia; (5) la derogación propuesta no crea un nuevo reglamento; (6) la derogación propuesta limita una norma existente al eliminar requisitos que fueron derogados por la ley estatal; (7) la derogación propuesta disminuye el número de personas sujetas a ella al eliminar los requisitos de la regla; y (8) la derogación propuesta no afecta positiva o negativamente a la economía del estado. </w:t>
      </w:r>
    </w:p>
    <w:p w14:paraId="0A28D570" w14:textId="77777777" w:rsidR="00465BBD" w:rsidRPr="008F3DEF" w:rsidRDefault="00465BBD" w:rsidP="00465BBD">
      <w:pPr>
        <w:spacing w:after="0" w:line="240" w:lineRule="auto"/>
        <w:rPr>
          <w:rFonts w:ascii="Times New Roman" w:hAnsi="Times New Roman" w:cs="Times New Roman"/>
          <w:sz w:val="24"/>
          <w:szCs w:val="24"/>
          <w:lang w:val="es-US"/>
        </w:rPr>
      </w:pPr>
    </w:p>
    <w:p w14:paraId="5B90D478" w14:textId="77777777" w:rsidR="00465BBD" w:rsidRPr="008F3DEF" w:rsidRDefault="00465BBD" w:rsidP="00465BBD">
      <w:pPr>
        <w:spacing w:after="0" w:line="240" w:lineRule="auto"/>
        <w:rPr>
          <w:rFonts w:ascii="Times New Roman" w:hAnsi="Times New Roman" w:cs="Times New Roman"/>
          <w:sz w:val="24"/>
          <w:szCs w:val="24"/>
          <w:lang w:val="es-US"/>
        </w:rPr>
      </w:pPr>
      <w:r w:rsidRPr="008F3DEF">
        <w:rPr>
          <w:rFonts w:ascii="Times New Roman" w:hAnsi="Times New Roman"/>
          <w:sz w:val="24"/>
          <w:lang w:val="es-US"/>
        </w:rPr>
        <w:t xml:space="preserve">COSTO PARA PERSONAS REGULADAS: Esta derogación propuesta no impone un costo a una persona regulada y, por lo tanto, no está sujeta al Código de Gobierno de Texas §2001.0045. </w:t>
      </w:r>
    </w:p>
    <w:p w14:paraId="5E33F4EE" w14:textId="77777777" w:rsidR="00465BBD" w:rsidRPr="008F3DEF" w:rsidRDefault="00465BBD" w:rsidP="00465BBD">
      <w:pPr>
        <w:spacing w:after="0" w:line="240" w:lineRule="auto"/>
        <w:rPr>
          <w:rFonts w:ascii="Times New Roman" w:hAnsi="Times New Roman" w:cs="Times New Roman"/>
          <w:sz w:val="24"/>
          <w:szCs w:val="24"/>
          <w:lang w:val="es-US"/>
        </w:rPr>
      </w:pPr>
    </w:p>
    <w:p w14:paraId="0A483989" w14:textId="77777777" w:rsidR="00465BBD" w:rsidRPr="008F3DEF" w:rsidRDefault="00465BBD" w:rsidP="00465BBD">
      <w:pPr>
        <w:spacing w:after="0" w:line="240" w:lineRule="auto"/>
        <w:rPr>
          <w:rFonts w:ascii="Times New Roman" w:hAnsi="Times New Roman" w:cs="Times New Roman"/>
          <w:sz w:val="24"/>
          <w:szCs w:val="24"/>
          <w:lang w:val="es-US"/>
        </w:rPr>
      </w:pPr>
      <w:r w:rsidRPr="008F3DEF">
        <w:rPr>
          <w:rFonts w:ascii="Times New Roman" w:hAnsi="Times New Roman"/>
          <w:sz w:val="24"/>
          <w:lang w:val="es-US"/>
        </w:rPr>
        <w:t xml:space="preserve">Se pueden enviar comentarios sobre la derogación propuesta a Casey Nichols, Directora Ejecutiva, a 1801 Congress Avenue, Suite 8.600, Austin, Texas 78701, por fax al (512) 649-2482, o por correo electrónico a official_rules_comments@tsbde.texas.gov durante 30 días luego de la fecha de publicación de la derogación propuesta en el </w:t>
      </w:r>
      <w:r w:rsidRPr="008F3DEF">
        <w:rPr>
          <w:rFonts w:ascii="Times New Roman" w:hAnsi="Times New Roman"/>
          <w:i/>
          <w:sz w:val="24"/>
          <w:lang w:val="es-US"/>
        </w:rPr>
        <w:t>Registro de Texas</w:t>
      </w:r>
      <w:r w:rsidRPr="008F3DEF">
        <w:rPr>
          <w:rFonts w:ascii="Times New Roman" w:hAnsi="Times New Roman"/>
          <w:sz w:val="24"/>
          <w:lang w:val="es-US"/>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0FD405E7" w14:textId="77777777" w:rsidR="00465BBD" w:rsidRPr="008F3DEF" w:rsidRDefault="00465BBD" w:rsidP="00465BBD">
      <w:pPr>
        <w:spacing w:after="0" w:line="240" w:lineRule="auto"/>
        <w:rPr>
          <w:rFonts w:ascii="Times New Roman" w:hAnsi="Times New Roman" w:cs="Times New Roman"/>
          <w:sz w:val="24"/>
          <w:szCs w:val="24"/>
          <w:lang w:val="es-US"/>
        </w:rPr>
      </w:pPr>
    </w:p>
    <w:p w14:paraId="53F32D2F" w14:textId="77777777" w:rsidR="00465BBD" w:rsidRPr="008F3DEF" w:rsidRDefault="00465BBD" w:rsidP="00465BBD">
      <w:pPr>
        <w:spacing w:after="0" w:line="240" w:lineRule="auto"/>
        <w:rPr>
          <w:rFonts w:ascii="Times New Roman" w:hAnsi="Times New Roman" w:cs="Times New Roman"/>
          <w:sz w:val="24"/>
          <w:szCs w:val="24"/>
          <w:lang w:val="es-US"/>
        </w:rPr>
      </w:pPr>
      <w:r w:rsidRPr="008F3DEF">
        <w:rPr>
          <w:rFonts w:ascii="Times New Roman" w:hAnsi="Times New Roman"/>
          <w:sz w:val="24"/>
          <w:lang w:val="es-US"/>
        </w:rPr>
        <w:t>Esta derogación se propone conforme al Artículo 254.001(a) del Código de Ocupaciones de Texas, que reviste a la Junta de autoridad para adoptar reglas necesarias para realizar sus tareas y garantizar el cumplimiento de las leyes estatales con respecto a la práctica de la odontología en un ámbito profesional para proteger la salud pública y la seguridad.</w:t>
      </w:r>
    </w:p>
    <w:p w14:paraId="33193BBE" w14:textId="77777777" w:rsidR="00465BBD" w:rsidRPr="008F3DEF" w:rsidRDefault="00465BBD" w:rsidP="00465BBD">
      <w:pPr>
        <w:spacing w:after="0" w:line="240" w:lineRule="auto"/>
        <w:rPr>
          <w:rFonts w:ascii="Times New Roman" w:hAnsi="Times New Roman" w:cs="Times New Roman"/>
          <w:sz w:val="24"/>
          <w:szCs w:val="24"/>
          <w:lang w:val="es-US"/>
        </w:rPr>
      </w:pPr>
    </w:p>
    <w:p w14:paraId="6A15AF6E" w14:textId="77777777" w:rsidR="00465BBD" w:rsidRPr="008F3DEF" w:rsidRDefault="00D3326F" w:rsidP="00465BBD">
      <w:pPr>
        <w:spacing w:after="0" w:line="240" w:lineRule="auto"/>
        <w:rPr>
          <w:rFonts w:ascii="Times New Roman" w:hAnsi="Times New Roman" w:cs="Times New Roman"/>
          <w:sz w:val="24"/>
          <w:szCs w:val="24"/>
          <w:lang w:val="es-US"/>
        </w:rPr>
      </w:pPr>
      <w:r w:rsidRPr="008F3DEF">
        <w:rPr>
          <w:rFonts w:ascii="Times New Roman" w:hAnsi="Times New Roman"/>
          <w:sz w:val="24"/>
          <w:lang w:val="es-US"/>
        </w:rPr>
        <w:t xml:space="preserve">Esta derogación propuesta implementa la derogación del Subcapítulo B, Capítulo 262, Código de Ocupaciones de Texas, como se establece en el Proyecto de Ley del Senado 313 de la Legislatura 85 de Texas, Sesión Ordinaria (2017). </w:t>
      </w:r>
    </w:p>
    <w:p w14:paraId="5CF7ECC5" w14:textId="77777777" w:rsidR="00EF47B3" w:rsidRPr="008F3DEF" w:rsidRDefault="00EF47B3" w:rsidP="00465BBD">
      <w:pPr>
        <w:spacing w:after="0" w:line="240" w:lineRule="auto"/>
        <w:rPr>
          <w:rFonts w:ascii="Times New Roman" w:hAnsi="Times New Roman" w:cs="Times New Roman"/>
          <w:sz w:val="24"/>
          <w:szCs w:val="24"/>
          <w:lang w:val="es-US"/>
        </w:rPr>
      </w:pPr>
    </w:p>
    <w:p w14:paraId="2E432B4B" w14:textId="77777777" w:rsidR="00465BBD" w:rsidRPr="008F3DEF" w:rsidRDefault="00465BBD" w:rsidP="00465BBD">
      <w:pPr>
        <w:spacing w:after="0" w:line="240" w:lineRule="auto"/>
        <w:rPr>
          <w:rFonts w:ascii="Times New Roman" w:hAnsi="Times New Roman" w:cs="Times New Roman"/>
          <w:sz w:val="24"/>
          <w:szCs w:val="24"/>
          <w:lang w:val="es-US"/>
        </w:rPr>
      </w:pPr>
      <w:r w:rsidRPr="008F3DEF">
        <w:rPr>
          <w:rFonts w:ascii="Times New Roman" w:hAnsi="Times New Roman"/>
          <w:sz w:val="24"/>
          <w:lang w:val="es-US"/>
        </w:rPr>
        <w:t xml:space="preserve">Los abogados de la Junta han revisado la derogación propuesta y han determinado que se encuentra dentro de la autoridad de la Junta adoptarla. </w:t>
      </w:r>
    </w:p>
    <w:p w14:paraId="61E09B09" w14:textId="77777777" w:rsidR="00465BBD" w:rsidRPr="008F3DEF" w:rsidRDefault="00465BBD" w:rsidP="00465BBD">
      <w:pPr>
        <w:spacing w:after="0" w:line="240" w:lineRule="auto"/>
        <w:rPr>
          <w:rFonts w:ascii="Times New Roman" w:hAnsi="Times New Roman" w:cs="Times New Roman"/>
          <w:sz w:val="24"/>
          <w:szCs w:val="24"/>
          <w:lang w:val="es-US"/>
        </w:rPr>
      </w:pPr>
    </w:p>
    <w:p w14:paraId="00A88A5B" w14:textId="77777777" w:rsidR="00465BBD" w:rsidRPr="008F3DEF" w:rsidRDefault="00465BBD" w:rsidP="00465BBD">
      <w:pPr>
        <w:spacing w:after="0" w:line="240" w:lineRule="auto"/>
        <w:rPr>
          <w:rFonts w:ascii="Times New Roman" w:eastAsia="Times New Roman" w:hAnsi="Times New Roman" w:cs="Times New Roman"/>
          <w:sz w:val="24"/>
          <w:szCs w:val="24"/>
          <w:lang w:val="es-US"/>
        </w:rPr>
      </w:pPr>
      <w:r w:rsidRPr="008F3DEF">
        <w:rPr>
          <w:rFonts w:ascii="Times New Roman" w:hAnsi="Times New Roman"/>
          <w:sz w:val="24"/>
          <w:lang w:val="es-US"/>
        </w:rPr>
        <w:t>&lt;regla&gt;</w:t>
      </w:r>
    </w:p>
    <w:p w14:paraId="5CD06F9E" w14:textId="77777777" w:rsidR="00465BBD" w:rsidRPr="008F3DEF" w:rsidRDefault="00465BBD" w:rsidP="00465BBD">
      <w:pPr>
        <w:spacing w:after="0" w:line="240" w:lineRule="auto"/>
        <w:rPr>
          <w:rFonts w:ascii="Times New Roman" w:eastAsia="Times New Roman" w:hAnsi="Times New Roman" w:cs="Times New Roman"/>
          <w:sz w:val="24"/>
          <w:szCs w:val="24"/>
          <w:lang w:val="es-US"/>
        </w:rPr>
      </w:pPr>
    </w:p>
    <w:p w14:paraId="4356E0D5" w14:textId="77777777" w:rsidR="008F1F96" w:rsidRPr="008F3DEF" w:rsidRDefault="00465BBD" w:rsidP="008F1F96">
      <w:pPr>
        <w:rPr>
          <w:rFonts w:ascii="Times New Roman" w:eastAsia="Times New Roman" w:hAnsi="Times New Roman" w:cs="Times New Roman"/>
          <w:sz w:val="24"/>
          <w:szCs w:val="24"/>
          <w:lang w:val="es-US"/>
        </w:rPr>
      </w:pPr>
      <w:r w:rsidRPr="008F3DEF">
        <w:rPr>
          <w:rFonts w:ascii="Times New Roman" w:hAnsi="Times New Roman"/>
          <w:sz w:val="24"/>
          <w:lang w:val="es-US"/>
        </w:rPr>
        <w:t>§115.20. Comité Asesor de Higiene Dental – Propósito y composición.</w:t>
      </w:r>
    </w:p>
    <w:p w14:paraId="76FC27EA" w14:textId="77777777" w:rsidR="00465BBD" w:rsidRPr="008F3DEF" w:rsidRDefault="00465BBD" w:rsidP="00465BBD">
      <w:pPr>
        <w:spacing w:after="0" w:line="240" w:lineRule="auto"/>
        <w:rPr>
          <w:rFonts w:ascii="Times New Roman" w:eastAsia="Times New Roman" w:hAnsi="Times New Roman" w:cs="Times New Roman"/>
          <w:sz w:val="24"/>
          <w:szCs w:val="24"/>
          <w:lang w:val="es-US"/>
        </w:rPr>
      </w:pPr>
    </w:p>
    <w:p w14:paraId="4294225C" w14:textId="77777777" w:rsidR="002B66B9" w:rsidRPr="008F3DEF" w:rsidRDefault="002B66B9" w:rsidP="00465BBD">
      <w:pPr>
        <w:rPr>
          <w:lang w:val="es-US"/>
        </w:rPr>
      </w:pPr>
    </w:p>
    <w:sectPr w:rsidR="002B66B9" w:rsidRPr="008F3D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B556C"/>
    <w:multiLevelType w:val="hybridMultilevel"/>
    <w:tmpl w:val="8BEC552C"/>
    <w:lvl w:ilvl="0" w:tplc="E4D2CD66">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F35491AE"/>
    <w:lvl w:ilvl="0" w:tplc="53DA3636">
      <w:start w:val="1"/>
      <w:numFmt w:val="lowerRoman"/>
      <w:lvlText w:val="(%1)"/>
      <w:lvlJc w:val="left"/>
      <w:pPr>
        <w:ind w:left="1080" w:hanging="720"/>
      </w:pPr>
      <w:rPr>
        <w:rFonts w:hint="default"/>
        <w:strik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032DD"/>
    <w:multiLevelType w:val="hybridMultilevel"/>
    <w:tmpl w:val="18C6A4EE"/>
    <w:lvl w:ilvl="0" w:tplc="BE542DE8">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C811FD"/>
    <w:multiLevelType w:val="hybridMultilevel"/>
    <w:tmpl w:val="EEF4AA2A"/>
    <w:lvl w:ilvl="0" w:tplc="B5F4DDA0">
      <w:start w:val="1"/>
      <w:numFmt w:val="decimal"/>
      <w:lvlText w:val="(%1)"/>
      <w:lvlJc w:val="left"/>
      <w:pPr>
        <w:ind w:left="720" w:hanging="360"/>
      </w:pPr>
      <w:rPr>
        <w:rFonts w:hint="default"/>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5649123">
    <w:abstractNumId w:val="3"/>
  </w:num>
  <w:num w:numId="2" w16cid:durableId="948464438">
    <w:abstractNumId w:val="4"/>
  </w:num>
  <w:num w:numId="3" w16cid:durableId="1260332273">
    <w:abstractNumId w:val="1"/>
  </w:num>
  <w:num w:numId="4" w16cid:durableId="852648839">
    <w:abstractNumId w:val="5"/>
  </w:num>
  <w:num w:numId="5" w16cid:durableId="2069569842">
    <w:abstractNumId w:val="2"/>
  </w:num>
  <w:num w:numId="6" w16cid:durableId="186312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51C43"/>
    <w:rsid w:val="00054B7F"/>
    <w:rsid w:val="000A1C7D"/>
    <w:rsid w:val="000E0318"/>
    <w:rsid w:val="00103DD2"/>
    <w:rsid w:val="00147199"/>
    <w:rsid w:val="00266B5C"/>
    <w:rsid w:val="002B66B9"/>
    <w:rsid w:val="0030029B"/>
    <w:rsid w:val="003256FB"/>
    <w:rsid w:val="003428A0"/>
    <w:rsid w:val="003655B3"/>
    <w:rsid w:val="00380CE5"/>
    <w:rsid w:val="003F58A4"/>
    <w:rsid w:val="004516EC"/>
    <w:rsid w:val="00465BBD"/>
    <w:rsid w:val="00471B94"/>
    <w:rsid w:val="004872E0"/>
    <w:rsid w:val="004F047B"/>
    <w:rsid w:val="005417A8"/>
    <w:rsid w:val="005576F5"/>
    <w:rsid w:val="006B5603"/>
    <w:rsid w:val="006F034A"/>
    <w:rsid w:val="00741B01"/>
    <w:rsid w:val="00761C09"/>
    <w:rsid w:val="00762CD5"/>
    <w:rsid w:val="00814C70"/>
    <w:rsid w:val="00844BE6"/>
    <w:rsid w:val="008C48FC"/>
    <w:rsid w:val="008F1F96"/>
    <w:rsid w:val="008F3DEF"/>
    <w:rsid w:val="00A418A5"/>
    <w:rsid w:val="00B270C1"/>
    <w:rsid w:val="00B601D3"/>
    <w:rsid w:val="00B91682"/>
    <w:rsid w:val="00C130BF"/>
    <w:rsid w:val="00C452EC"/>
    <w:rsid w:val="00C502EE"/>
    <w:rsid w:val="00C6074A"/>
    <w:rsid w:val="00CA6F6A"/>
    <w:rsid w:val="00CA75A2"/>
    <w:rsid w:val="00CB73D8"/>
    <w:rsid w:val="00D3326F"/>
    <w:rsid w:val="00D36A17"/>
    <w:rsid w:val="00D42B82"/>
    <w:rsid w:val="00D479F1"/>
    <w:rsid w:val="00D57F05"/>
    <w:rsid w:val="00D6656E"/>
    <w:rsid w:val="00D90A37"/>
    <w:rsid w:val="00DD0FCE"/>
    <w:rsid w:val="00E12F25"/>
    <w:rsid w:val="00E5728D"/>
    <w:rsid w:val="00EF47B3"/>
    <w:rsid w:val="00F20159"/>
    <w:rsid w:val="00F370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992E2"/>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Revision">
    <w:name w:val="Revision"/>
    <w:hidden/>
    <w:uiPriority w:val="99"/>
    <w:semiHidden/>
    <w:rsid w:val="00266B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294030">
      <w:bodyDiv w:val="1"/>
      <w:marLeft w:val="0"/>
      <w:marRight w:val="0"/>
      <w:marTop w:val="0"/>
      <w:marBottom w:val="0"/>
      <w:divBdr>
        <w:top w:val="none" w:sz="0" w:space="0" w:color="auto"/>
        <w:left w:val="none" w:sz="0" w:space="0" w:color="auto"/>
        <w:bottom w:val="none" w:sz="0" w:space="0" w:color="auto"/>
        <w:right w:val="none" w:sz="0" w:space="0" w:color="auto"/>
      </w:divBdr>
      <w:divsChild>
        <w:div w:id="52701177">
          <w:marLeft w:val="0"/>
          <w:marRight w:val="0"/>
          <w:marTop w:val="0"/>
          <w:marBottom w:val="0"/>
          <w:divBdr>
            <w:top w:val="none" w:sz="0" w:space="0" w:color="auto"/>
            <w:left w:val="none" w:sz="0" w:space="0" w:color="auto"/>
            <w:bottom w:val="none" w:sz="0" w:space="0" w:color="auto"/>
            <w:right w:val="none" w:sz="0" w:space="0" w:color="auto"/>
          </w:divBdr>
          <w:divsChild>
            <w:div w:id="10233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65444">
      <w:bodyDiv w:val="1"/>
      <w:marLeft w:val="0"/>
      <w:marRight w:val="0"/>
      <w:marTop w:val="0"/>
      <w:marBottom w:val="0"/>
      <w:divBdr>
        <w:top w:val="none" w:sz="0" w:space="0" w:color="auto"/>
        <w:left w:val="none" w:sz="0" w:space="0" w:color="auto"/>
        <w:bottom w:val="none" w:sz="0" w:space="0" w:color="auto"/>
        <w:right w:val="none" w:sz="0" w:space="0" w:color="auto"/>
      </w:divBdr>
      <w:divsChild>
        <w:div w:id="829250975">
          <w:marLeft w:val="0"/>
          <w:marRight w:val="0"/>
          <w:marTop w:val="0"/>
          <w:marBottom w:val="0"/>
          <w:divBdr>
            <w:top w:val="none" w:sz="0" w:space="0" w:color="auto"/>
            <w:left w:val="none" w:sz="0" w:space="0" w:color="auto"/>
            <w:bottom w:val="none" w:sz="0" w:space="0" w:color="auto"/>
            <w:right w:val="none" w:sz="0" w:space="0" w:color="auto"/>
          </w:divBdr>
          <w:divsChild>
            <w:div w:id="14740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Mark Bonnett</cp:lastModifiedBy>
  <cp:revision>7</cp:revision>
  <dcterms:created xsi:type="dcterms:W3CDTF">2025-10-27T14:24:00Z</dcterms:created>
  <dcterms:modified xsi:type="dcterms:W3CDTF">2026-03-24T17:15:00Z</dcterms:modified>
</cp:coreProperties>
</file>