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90B7" w14:textId="6E5019ED" w:rsidR="002E0F91" w:rsidRPr="003A68E6" w:rsidRDefault="002604CF" w:rsidP="009622E9">
      <w:pPr>
        <w:rPr>
          <w:rFonts w:ascii="Times New Roman" w:hAnsi="Times New Roman" w:cs="Times New Roman"/>
          <w:sz w:val="24"/>
          <w:szCs w:val="24"/>
          <w:lang w:val="es-US"/>
        </w:rPr>
      </w:pPr>
      <w:r w:rsidRPr="003A68E6">
        <w:rPr>
          <w:rFonts w:ascii="Times New Roman" w:hAnsi="Times New Roman"/>
          <w:sz w:val="24"/>
          <w:lang w:val="es-US"/>
        </w:rPr>
        <w:t xml:space="preserve">La Junta Estatal de Odontólogos (Junta) propone esta enmienda a la regla 108 del título 22 del TAC , en relación con un trato justo. La enmienda se relaciona con la venta, diseño y fabricación de dispositivos de ortodoncia según se establece en el Proyecto de Ley 4070 de la Legislatura 89 de Texas, Sesión Ordinaria (2025), y codificado en el Artículo 431.024 del Código de Salud y Seguridad. El proyecto de ley busca proteger a los pacientes de prácticas inseguras estableciendo requisitos para la persona que venda un dispositivo de ortodoncia o brinde un servicio relacionado con el diseño o fabricación de dicho dispositivo a pacientes en Texas. La enmienda también incluye cambios gramaticales. </w:t>
      </w:r>
    </w:p>
    <w:p w14:paraId="7AC0AD1A" w14:textId="7AAD7139" w:rsidR="002604CF" w:rsidRPr="003A68E6" w:rsidRDefault="002604CF" w:rsidP="009622E9">
      <w:pPr>
        <w:rPr>
          <w:rFonts w:ascii="Times New Roman" w:hAnsi="Times New Roman" w:cs="Times New Roman"/>
          <w:sz w:val="24"/>
          <w:szCs w:val="24"/>
          <w:lang w:val="es-US"/>
        </w:rPr>
      </w:pPr>
      <w:r w:rsidRPr="003A68E6">
        <w:rPr>
          <w:rFonts w:ascii="Times New Roman" w:hAnsi="Times New Roman"/>
          <w:sz w:val="24"/>
          <w:lang w:val="es-US"/>
        </w:rPr>
        <w:t xml:space="preserve">NOTA FISCAL: Casey Nichols, Directora Ejecutiva, ha determinado que en el primer período de cinco años en que esté vigente la regla propuesta, la regla propuesta no tenga implicancias previsibles relativas a costos o rentas de los gobiernos estatal o local. </w:t>
      </w:r>
    </w:p>
    <w:p w14:paraId="4CBDAB64" w14:textId="77777777" w:rsidR="002604CF" w:rsidRPr="003A68E6" w:rsidRDefault="002604CF" w:rsidP="002604CF">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NOTA PÚBLICA DE COSTOS Y BENEFICIOS: Casey Nichols también ha determina que, en el primer período de cinco años en que esté vigente la regla propuesta, el beneficio público anticipado como resultado de esta regla será la protección de la seguridad y el bienestar públicos. </w:t>
      </w:r>
    </w:p>
    <w:p w14:paraId="2364F95D" w14:textId="77777777" w:rsidR="002604CF" w:rsidRPr="003A68E6" w:rsidRDefault="002604CF" w:rsidP="002604CF">
      <w:pPr>
        <w:spacing w:after="0" w:line="240" w:lineRule="auto"/>
        <w:rPr>
          <w:rFonts w:ascii="Times New Roman" w:hAnsi="Times New Roman" w:cs="Times New Roman"/>
          <w:sz w:val="24"/>
          <w:szCs w:val="24"/>
          <w:lang w:val="es-US"/>
        </w:rPr>
      </w:pPr>
    </w:p>
    <w:p w14:paraId="73BF3D0C" w14:textId="77777777" w:rsidR="002604CF" w:rsidRPr="003A68E6" w:rsidRDefault="002604CF" w:rsidP="002604CF">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DECLARACIÓN DE IMPACTO SOBRE EL EMPLEO LOCAL: Casey Nichols también ha determinado que la regla propuesta no afecta las economías y el empleo locales. </w:t>
      </w:r>
    </w:p>
    <w:p w14:paraId="0A95F484" w14:textId="77777777" w:rsidR="002604CF" w:rsidRPr="003A68E6" w:rsidRDefault="002604CF" w:rsidP="002604CF">
      <w:pPr>
        <w:spacing w:after="0" w:line="240" w:lineRule="auto"/>
        <w:rPr>
          <w:rFonts w:ascii="Times New Roman" w:hAnsi="Times New Roman" w:cs="Times New Roman"/>
          <w:sz w:val="24"/>
          <w:szCs w:val="24"/>
          <w:lang w:val="es-US"/>
        </w:rPr>
      </w:pPr>
    </w:p>
    <w:p w14:paraId="35D228DF" w14:textId="77777777" w:rsidR="002604CF" w:rsidRPr="003A68E6" w:rsidRDefault="002604CF" w:rsidP="002604CF">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DECLARACIÓN DE IMPACTO SOBRE LAS PEQUEÑAS Y MICRO EMPRESAS Y LA COMUNIDAD RURAL: Casey Nichols ha determinado que no se requiere una declaración de impacto económico y análisis de flexibilidad normativa para pequeñas empresas, microempresas y comunidades rurales para esta regla propuesta. </w:t>
      </w:r>
    </w:p>
    <w:p w14:paraId="5A76C056" w14:textId="77777777" w:rsidR="002604CF" w:rsidRPr="003A68E6" w:rsidRDefault="002604CF" w:rsidP="002604CF">
      <w:pPr>
        <w:spacing w:after="0" w:line="240" w:lineRule="auto"/>
        <w:rPr>
          <w:rFonts w:ascii="Times New Roman" w:hAnsi="Times New Roman" w:cs="Times New Roman"/>
          <w:sz w:val="24"/>
          <w:szCs w:val="24"/>
          <w:lang w:val="es-US"/>
        </w:rPr>
      </w:pPr>
    </w:p>
    <w:p w14:paraId="6D10C40D" w14:textId="0AFA14FE" w:rsidR="002604CF" w:rsidRPr="003A68E6" w:rsidRDefault="002604CF" w:rsidP="002604CF">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DECLARACIÓN DE IMPACTO SOBRE EL CRECIMIENTO DEL GOBIERNO: La Junta ha determinado que, durante el primer período de cinco años en que esté vigente la regla, se aplicarían los siguientes efectos sobre el crecimiento gubernamental: (1) la regla propuesta no crea ni elimina un programa gubernamental; (2) la implementación de la regla propuesta no requiere la creación o eliminación de puestos de empleados; (3) la implementación de la regla propuesta no requiere un aumento o disminución en las asignaciones futuras; (4) la regla propuesta no requiere un aumento en las tasas pagadas a la agencia; (5) la norma propuesta crea una nueva regulación; (6) la norma propuesta no amplía una regulación existente; (7) la regla propuesta no aumenta ni disminuye la cantidad de personas sujetas a ella; y (8) la regla propuesta no afecta positiva o negativamente la economía del estado. </w:t>
      </w:r>
    </w:p>
    <w:p w14:paraId="7DCE5659" w14:textId="77777777" w:rsidR="00352A6B" w:rsidRPr="003A68E6" w:rsidRDefault="00352A6B" w:rsidP="002604CF">
      <w:pPr>
        <w:spacing w:after="0" w:line="240" w:lineRule="auto"/>
        <w:rPr>
          <w:rFonts w:ascii="Times New Roman" w:hAnsi="Times New Roman" w:cs="Times New Roman"/>
          <w:sz w:val="24"/>
          <w:szCs w:val="24"/>
          <w:lang w:val="es-US"/>
        </w:rPr>
      </w:pPr>
    </w:p>
    <w:p w14:paraId="373E0D73" w14:textId="77777777" w:rsidR="002604CF" w:rsidRPr="003A68E6" w:rsidRDefault="002604CF" w:rsidP="002604CF">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Se pueden enviar comentarios sobre la regla propuesta a Casey Nichols, Directora Ejecutiva, a 1801 Congress Avenue, Suite 8.600, Austin, Texas 78701, por fax al (512) 649-2482, o por correo electrónico a official_rules_comments@tsbde.texas.gov durante 30 días luego de la fecha de publicación de la regla propuesta en el </w:t>
      </w:r>
      <w:r w:rsidRPr="003A68E6">
        <w:rPr>
          <w:rFonts w:ascii="Times New Roman" w:hAnsi="Times New Roman"/>
          <w:i/>
          <w:sz w:val="24"/>
          <w:lang w:val="es-US"/>
        </w:rPr>
        <w:t>Registro de Texas</w:t>
      </w:r>
      <w:r w:rsidRPr="003A68E6">
        <w:rPr>
          <w:rFonts w:ascii="Times New Roman" w:hAnsi="Times New Roman"/>
          <w:sz w:val="24"/>
          <w:lang w:val="es-US"/>
        </w:rPr>
        <w:t xml:space="preserve">. Para que se tenga en cuenta a fines de esta creación de reglas, los comentarios deben: (1) tener sello postal o enviarse antes del último día del período de comentarios; o (2) enviarse por fax o correo electrónico antes de la medianoche del último día del período de comentarios. </w:t>
      </w:r>
    </w:p>
    <w:p w14:paraId="6296CFD0" w14:textId="77777777" w:rsidR="002604CF" w:rsidRPr="003A68E6" w:rsidRDefault="002604CF" w:rsidP="002604CF">
      <w:pPr>
        <w:spacing w:after="0" w:line="240" w:lineRule="auto"/>
        <w:rPr>
          <w:rFonts w:ascii="Times New Roman" w:hAnsi="Times New Roman" w:cs="Times New Roman"/>
          <w:sz w:val="24"/>
          <w:szCs w:val="24"/>
          <w:lang w:val="es-US"/>
        </w:rPr>
      </w:pPr>
    </w:p>
    <w:p w14:paraId="71558DB0" w14:textId="37041A7B" w:rsidR="00AD218F" w:rsidRPr="003A68E6" w:rsidRDefault="002604CF" w:rsidP="00F57022">
      <w:pPr>
        <w:rPr>
          <w:rFonts w:ascii="Times New Roman" w:hAnsi="Times New Roman" w:cs="Times New Roman"/>
          <w:sz w:val="24"/>
          <w:szCs w:val="24"/>
          <w:lang w:val="es-US"/>
        </w:rPr>
      </w:pPr>
      <w:r w:rsidRPr="003A68E6">
        <w:rPr>
          <w:rFonts w:ascii="Times New Roman" w:hAnsi="Times New Roman"/>
          <w:sz w:val="24"/>
          <w:lang w:val="es-US"/>
        </w:rPr>
        <w:t xml:space="preserve">Esta regla se propone conforme al Artículo 254.001(a) del Código de Ocupaciones de Texas, que otorga a la Junta la autoridad para adoptar las reglas necesarias para desempeñar sus tareas y </w:t>
      </w:r>
      <w:r w:rsidRPr="003A68E6">
        <w:rPr>
          <w:rFonts w:ascii="Times New Roman" w:hAnsi="Times New Roman"/>
          <w:sz w:val="24"/>
          <w:lang w:val="es-US"/>
        </w:rPr>
        <w:lastRenderedPageBreak/>
        <w:t>garantizar el cumplimiento de las leyes estatales relacionadas con la práctica de la odontología para proteger la salud y seguridad públicas; y el Artículo 431.024 del Código de Salud y Seguridad de Texas.</w:t>
      </w:r>
    </w:p>
    <w:p w14:paraId="7EEE1BEB" w14:textId="3ABACB4A" w:rsidR="00E55372" w:rsidRPr="003A68E6" w:rsidRDefault="00AD218F" w:rsidP="00F57022">
      <w:pPr>
        <w:rPr>
          <w:rFonts w:ascii="Times New Roman" w:hAnsi="Times New Roman" w:cs="Times New Roman"/>
          <w:sz w:val="24"/>
          <w:szCs w:val="24"/>
          <w:lang w:val="es-US"/>
        </w:rPr>
      </w:pPr>
      <w:r w:rsidRPr="003A68E6">
        <w:rPr>
          <w:rFonts w:ascii="Times New Roman" w:hAnsi="Times New Roman"/>
          <w:sz w:val="24"/>
          <w:lang w:val="es-US"/>
        </w:rPr>
        <w:t>Esta regla propuesta implementa el Artículo 431.024 del Código de Salud y Seguridad como se establece en el Proyecto de Ley 4070 de la Legislatura 89 de Texas, Sesión Ordinaria (2025).</w:t>
      </w:r>
    </w:p>
    <w:p w14:paraId="38454A84" w14:textId="77A6D6F3" w:rsidR="00E55A69" w:rsidRPr="003A68E6" w:rsidRDefault="002604CF" w:rsidP="00E55372">
      <w:pPr>
        <w:spacing w:after="0" w:line="240" w:lineRule="auto"/>
        <w:rPr>
          <w:rFonts w:ascii="Times New Roman" w:hAnsi="Times New Roman" w:cs="Times New Roman"/>
          <w:sz w:val="24"/>
          <w:szCs w:val="24"/>
          <w:lang w:val="es-US"/>
        </w:rPr>
      </w:pPr>
      <w:r w:rsidRPr="003A68E6">
        <w:rPr>
          <w:rFonts w:ascii="Times New Roman" w:hAnsi="Times New Roman"/>
          <w:sz w:val="24"/>
          <w:lang w:val="es-US"/>
        </w:rPr>
        <w:t xml:space="preserve">Los asesores legales de la Junta han revisado la regla propuesta y determinado que su adopción se encuentra dentro de la autoridad de la Junta. </w:t>
      </w:r>
    </w:p>
    <w:p w14:paraId="5EC3602B" w14:textId="77777777" w:rsidR="00AD218F" w:rsidRPr="003A68E6" w:rsidRDefault="00AD218F" w:rsidP="00E55372">
      <w:pPr>
        <w:spacing w:after="0" w:line="240" w:lineRule="auto"/>
        <w:rPr>
          <w:rFonts w:ascii="Times New Roman" w:hAnsi="Times New Roman" w:cs="Times New Roman"/>
          <w:sz w:val="24"/>
          <w:szCs w:val="24"/>
          <w:lang w:val="es-US"/>
        </w:rPr>
      </w:pPr>
    </w:p>
    <w:p w14:paraId="45D27804" w14:textId="2251D42B" w:rsidR="002604CF" w:rsidRPr="003A68E6" w:rsidRDefault="002604CF" w:rsidP="002604CF">
      <w:pPr>
        <w:spacing w:after="0" w:line="240" w:lineRule="auto"/>
        <w:rPr>
          <w:rFonts w:ascii="Times New Roman" w:eastAsia="Times New Roman" w:hAnsi="Times New Roman" w:cs="Times New Roman"/>
          <w:sz w:val="24"/>
          <w:szCs w:val="24"/>
          <w:lang w:val="es-US"/>
        </w:rPr>
      </w:pPr>
      <w:r w:rsidRPr="003A68E6">
        <w:rPr>
          <w:rFonts w:ascii="Times New Roman" w:hAnsi="Times New Roman"/>
          <w:sz w:val="24"/>
          <w:lang w:val="es-US"/>
        </w:rPr>
        <w:t>&lt;regla&gt;</w:t>
      </w:r>
    </w:p>
    <w:p w14:paraId="035143E8" w14:textId="77777777" w:rsidR="00171F70" w:rsidRPr="003A68E6" w:rsidRDefault="00171F70" w:rsidP="00465BBD">
      <w:pPr>
        <w:spacing w:after="0" w:line="240" w:lineRule="auto"/>
        <w:rPr>
          <w:rFonts w:ascii="Times New Roman" w:eastAsia="Times New Roman" w:hAnsi="Times New Roman" w:cs="Times New Roman"/>
          <w:sz w:val="24"/>
          <w:szCs w:val="24"/>
          <w:lang w:val="es-US"/>
        </w:rPr>
      </w:pPr>
    </w:p>
    <w:p w14:paraId="62D6448B" w14:textId="6250E6C4" w:rsidR="00C96851" w:rsidRPr="003A68E6" w:rsidRDefault="00465BBD" w:rsidP="00465BBD">
      <w:pPr>
        <w:spacing w:after="0" w:line="240" w:lineRule="auto"/>
        <w:rPr>
          <w:rFonts w:ascii="Times New Roman" w:eastAsia="Times New Roman" w:hAnsi="Times New Roman" w:cs="Times New Roman"/>
          <w:sz w:val="24"/>
          <w:szCs w:val="24"/>
          <w:lang w:val="es-US"/>
        </w:rPr>
      </w:pPr>
      <w:r w:rsidRPr="003A68E6">
        <w:rPr>
          <w:rFonts w:ascii="Times New Roman" w:hAnsi="Times New Roman"/>
          <w:sz w:val="24"/>
          <w:lang w:val="es-US"/>
        </w:rPr>
        <w:t>§108.2. Trato justo.</w:t>
      </w:r>
    </w:p>
    <w:p w14:paraId="662B6A95" w14:textId="2AA4B49D" w:rsidR="00F57022" w:rsidRPr="003A68E6" w:rsidRDefault="00F57022" w:rsidP="00465BBD">
      <w:pPr>
        <w:spacing w:after="0" w:line="240" w:lineRule="auto"/>
        <w:rPr>
          <w:rFonts w:ascii="Times New Roman" w:eastAsia="Times New Roman" w:hAnsi="Times New Roman" w:cs="Times New Roman"/>
          <w:sz w:val="24"/>
          <w:szCs w:val="24"/>
          <w:lang w:val="es-US"/>
        </w:rPr>
      </w:pPr>
    </w:p>
    <w:p w14:paraId="10017ACE" w14:textId="2B15B50B"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(a) El dentista tiene un conocimiento especial que un paciente dental no tiene; por lo tanto, para evitar malos entendidos, el dentista deberá informar al paciente, antes de comenzar el tratamiento, sobre el tratamiento propuesto y cualquier alternativa razonable, de manera que permita al paciente involucrarse en las decisiones de tratamiento.</w:t>
      </w:r>
    </w:p>
    <w:p w14:paraId="1E4F9432" w14:textId="7ACF34B2"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(b) El asesoramiento incluirá, como mínimo:</w:t>
      </w:r>
    </w:p>
    <w:p w14:paraId="6C51E5C9" w14:textId="7EADACC9"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(1) la naturaleza y alcance del tratamiento necesario para dicho paciente;</w:t>
      </w:r>
    </w:p>
    <w:p w14:paraId="3DDFAAA5" w14:textId="67CA8710"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(2) el tiempo aproximado requerido para realizar el tratamiento y los servicios dentales recomendados;</w:t>
      </w:r>
    </w:p>
    <w:p w14:paraId="14D62172" w14:textId="0A87709D"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 xml:space="preserve">(3) los términos y condiciones del pago de </w:t>
      </w:r>
      <w:r w:rsidRPr="00CF2381">
        <w:rPr>
          <w:rFonts w:ascii="Times New Roman" w:hAnsi="Times New Roman"/>
          <w:sz w:val="24"/>
          <w:lang w:val="es-US"/>
        </w:rPr>
        <w:t xml:space="preserve">los </w:t>
      </w:r>
      <w:r w:rsidRPr="003A68E6">
        <w:rPr>
          <w:rFonts w:ascii="Times New Roman" w:hAnsi="Times New Roman"/>
          <w:sz w:val="24"/>
          <w:lang w:val="es-US"/>
        </w:rPr>
        <w:t xml:space="preserve"> honorarios </w:t>
      </w:r>
      <w:r w:rsidRPr="00CF2381">
        <w:rPr>
          <w:rFonts w:ascii="Times New Roman" w:hAnsi="Times New Roman"/>
          <w:sz w:val="24"/>
          <w:u w:val="single"/>
          <w:lang w:val="es-US"/>
        </w:rPr>
        <w:t>del dentista</w:t>
      </w:r>
      <w:r w:rsidRPr="003A68E6">
        <w:rPr>
          <w:rFonts w:ascii="Times New Roman" w:hAnsi="Times New Roman"/>
          <w:sz w:val="24"/>
          <w:lang w:val="es-US"/>
        </w:rPr>
        <w:t>; y</w:t>
      </w:r>
    </w:p>
    <w:p w14:paraId="743B95D5" w14:textId="19A7F2CA"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(4) cualquier servicio o visita adicional por parte del paciente o cualquier ajuste, reparación o consulta y el plazo en el  esto ocurrirá.</w:t>
      </w:r>
    </w:p>
    <w:p w14:paraId="0C486E1C" w14:textId="6BD15E89"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(c) A solicitud escrita del paciente, el dentista con licencia deberá proporcionar, en lenguaje sencillo, una explicación escrita de los cargos por servicios profesionales realizados previamente en una factura o declaración para el paciente. Para esta regla, el término "lenguaje sencillo" significa lenguaje que evita términos técnicos o uso de palabras que tengan un significado especializado en un contexto típicamente comprendido solo por profesionales de la atención de la salud.</w:t>
      </w:r>
    </w:p>
    <w:p w14:paraId="21D4270F" w14:textId="4ACE8B3D"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 xml:space="preserve">(d) Ni el dentista ni el/los empleado/s </w:t>
      </w:r>
      <w:r w:rsidRPr="00CF2381">
        <w:rPr>
          <w:rFonts w:ascii="Times New Roman" w:hAnsi="Times New Roman"/>
          <w:sz w:val="24"/>
          <w:u w:val="single"/>
          <w:lang w:val="es-US"/>
        </w:rPr>
        <w:t>del dentista</w:t>
      </w:r>
      <w:r w:rsidRPr="003A68E6">
        <w:rPr>
          <w:rFonts w:ascii="Times New Roman" w:hAnsi="Times New Roman"/>
          <w:sz w:val="24"/>
          <w:lang w:val="es-US"/>
        </w:rPr>
        <w:t xml:space="preserve"> podrán engañar a los pacientes dentales con respecto a la gravedad o falta de gravedad de las necesidades dentales de dicho paciente.</w:t>
      </w:r>
    </w:p>
    <w:p w14:paraId="711E7C4F" w14:textId="2E6D2F5E" w:rsidR="005244BF" w:rsidRPr="003A68E6" w:rsidRDefault="005244BF" w:rsidP="005244BF">
      <w:pPr>
        <w:rPr>
          <w:rFonts w:ascii="Times New Roman" w:hAnsi="Times New Roman" w:cs="Times New Roman"/>
          <w:sz w:val="24"/>
          <w:szCs w:val="24"/>
          <w:lang w:val="es-US"/>
        </w:rPr>
      </w:pPr>
      <w:r w:rsidRPr="003A68E6">
        <w:rPr>
          <w:rFonts w:ascii="Times New Roman" w:hAnsi="Times New Roman"/>
          <w:sz w:val="24"/>
          <w:lang w:val="es-US"/>
        </w:rPr>
        <w:t>(e) El dentista no debe cobrar en exceso, diagnosticar en exceso o tratar en exceso a un paciente de manera flagrante o persistente. Para esta regla, el significado del término "cobrar en exceso" incluye, entre otros, cobrar o intentar cobrar una tarifa sin justificación razonable por cualquier elemento de los servicios dentales proporcionados a un paciente que exceda la tarifa que el dentista normalmente cobra a otros por el mismo servicio.</w:t>
      </w:r>
    </w:p>
    <w:p w14:paraId="5EB2672B" w14:textId="10EB97BA" w:rsidR="00185C43" w:rsidRPr="003A68E6" w:rsidRDefault="00185C43" w:rsidP="005244BF">
      <w:pPr>
        <w:rPr>
          <w:rFonts w:ascii="Times New Roman" w:hAnsi="Times New Roman" w:cs="Times New Roman"/>
          <w:sz w:val="24"/>
          <w:szCs w:val="24"/>
          <w:u w:val="single"/>
          <w:lang w:val="es-US"/>
        </w:rPr>
      </w:pPr>
      <w:r w:rsidRPr="003A68E6">
        <w:rPr>
          <w:rFonts w:ascii="Times New Roman" w:hAnsi="Times New Roman"/>
          <w:sz w:val="24"/>
          <w:u w:val="single"/>
          <w:lang w:val="es-US"/>
        </w:rPr>
        <w:lastRenderedPageBreak/>
        <w:t>(f) De acuerdo con el Artículo 431.024(f) del Código de Salud y Seguridad, el dentista no puede requerir que el paciente acepte usar un tipo particular de dispositivo de ortodoncia como condición para realizar un examen o revisión.</w:t>
      </w:r>
    </w:p>
    <w:p w14:paraId="1F263903" w14:textId="61123D02" w:rsidR="0024514A" w:rsidRPr="003A68E6" w:rsidRDefault="00D4661D" w:rsidP="005244BF">
      <w:pPr>
        <w:rPr>
          <w:rFonts w:ascii="Times New Roman" w:hAnsi="Times New Roman" w:cs="Times New Roman"/>
          <w:sz w:val="24"/>
          <w:szCs w:val="24"/>
          <w:lang w:val="es-US"/>
        </w:rPr>
      </w:pPr>
      <w:r w:rsidRPr="003A68E6">
        <w:rPr>
          <w:rFonts w:ascii="Times New Roman" w:hAnsi="Times New Roman"/>
          <w:sz w:val="24"/>
          <w:lang w:val="es-US"/>
        </w:rPr>
        <w:t>g</w:t>
      </w:r>
      <w:r w:rsidRPr="003A68E6">
        <w:rPr>
          <w:rFonts w:ascii="Times New Roman" w:hAnsi="Times New Roman"/>
          <w:sz w:val="24"/>
          <w:u w:val="single"/>
          <w:lang w:val="es-US"/>
        </w:rPr>
        <w:t>)</w:t>
      </w:r>
      <w:r w:rsidRPr="003A68E6">
        <w:rPr>
          <w:rFonts w:ascii="Times New Roman" w:hAnsi="Times New Roman"/>
          <w:sz w:val="24"/>
          <w:lang w:val="es-US"/>
        </w:rPr>
        <w:t xml:space="preserve"> [</w:t>
      </w:r>
      <w:r w:rsidRPr="003A68E6">
        <w:rPr>
          <w:rFonts w:ascii="Times New Roman" w:hAnsi="Times New Roman"/>
          <w:strike/>
          <w:sz w:val="24"/>
          <w:lang w:val="es-US"/>
        </w:rPr>
        <w:t>f)</w:t>
      </w:r>
      <w:r w:rsidRPr="003A68E6">
        <w:rPr>
          <w:rFonts w:ascii="Times New Roman" w:hAnsi="Times New Roman"/>
          <w:sz w:val="24"/>
          <w:lang w:val="es-US"/>
        </w:rPr>
        <w:t xml:space="preserve">] El dentista no podrá emplear a un auxiliar para realizar ningún procedimiento dental que </w:t>
      </w:r>
      <w:r w:rsidRPr="003A68E6">
        <w:rPr>
          <w:rFonts w:ascii="Times New Roman" w:hAnsi="Times New Roman"/>
          <w:sz w:val="24"/>
          <w:u w:val="single"/>
          <w:lang w:val="es-US"/>
        </w:rPr>
        <w:t>el dentista [</w:t>
      </w:r>
      <w:r w:rsidRPr="003A68E6">
        <w:rPr>
          <w:rFonts w:ascii="Times New Roman" w:hAnsi="Times New Roman"/>
          <w:strike/>
          <w:sz w:val="24"/>
          <w:lang w:val="es-US"/>
        </w:rPr>
        <w:t>él</w:t>
      </w:r>
      <w:r w:rsidRPr="003A68E6">
        <w:rPr>
          <w:rFonts w:ascii="Times New Roman" w:hAnsi="Times New Roman"/>
          <w:sz w:val="24"/>
          <w:lang w:val="es-US"/>
        </w:rPr>
        <w:t>] no pueda realizar personalmente.</w:t>
      </w:r>
    </w:p>
    <w:sectPr w:rsidR="0024514A" w:rsidRPr="003A6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6CF8"/>
    <w:multiLevelType w:val="hybridMultilevel"/>
    <w:tmpl w:val="7A3E37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4AC101D0"/>
    <w:multiLevelType w:val="hybridMultilevel"/>
    <w:tmpl w:val="C3BC856C"/>
    <w:lvl w:ilvl="0" w:tplc="7B18DECE">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253A13"/>
    <w:multiLevelType w:val="hybridMultilevel"/>
    <w:tmpl w:val="97808D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7161875">
    <w:abstractNumId w:val="2"/>
  </w:num>
  <w:num w:numId="2" w16cid:durableId="1161889672">
    <w:abstractNumId w:val="5"/>
  </w:num>
  <w:num w:numId="3" w16cid:durableId="1150288205">
    <w:abstractNumId w:val="1"/>
  </w:num>
  <w:num w:numId="4" w16cid:durableId="1454709613">
    <w:abstractNumId w:val="3"/>
  </w:num>
  <w:num w:numId="5" w16cid:durableId="2096124034">
    <w:abstractNumId w:val="4"/>
  </w:num>
  <w:num w:numId="6" w16cid:durableId="142746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42E8"/>
    <w:rsid w:val="000262A7"/>
    <w:rsid w:val="00026B91"/>
    <w:rsid w:val="00030B41"/>
    <w:rsid w:val="000322BD"/>
    <w:rsid w:val="00033CF5"/>
    <w:rsid w:val="00044D21"/>
    <w:rsid w:val="00054B7F"/>
    <w:rsid w:val="0005764D"/>
    <w:rsid w:val="00063A73"/>
    <w:rsid w:val="00076D07"/>
    <w:rsid w:val="000878F1"/>
    <w:rsid w:val="000A0599"/>
    <w:rsid w:val="000A1C7D"/>
    <w:rsid w:val="000A32EC"/>
    <w:rsid w:val="000A39F2"/>
    <w:rsid w:val="000B274D"/>
    <w:rsid w:val="000B5325"/>
    <w:rsid w:val="000C01E4"/>
    <w:rsid w:val="000C5F08"/>
    <w:rsid w:val="000E42B7"/>
    <w:rsid w:val="000E7DF5"/>
    <w:rsid w:val="000F3007"/>
    <w:rsid w:val="00104706"/>
    <w:rsid w:val="00122B18"/>
    <w:rsid w:val="00147C5A"/>
    <w:rsid w:val="00152CEF"/>
    <w:rsid w:val="001566E2"/>
    <w:rsid w:val="0016072B"/>
    <w:rsid w:val="0016410C"/>
    <w:rsid w:val="00170261"/>
    <w:rsid w:val="00171F70"/>
    <w:rsid w:val="001756AF"/>
    <w:rsid w:val="00185C43"/>
    <w:rsid w:val="00186156"/>
    <w:rsid w:val="0019556E"/>
    <w:rsid w:val="00197AF8"/>
    <w:rsid w:val="001A0A1E"/>
    <w:rsid w:val="001A28C3"/>
    <w:rsid w:val="001B1402"/>
    <w:rsid w:val="001C0DBD"/>
    <w:rsid w:val="001C2097"/>
    <w:rsid w:val="001C40E8"/>
    <w:rsid w:val="001C74D1"/>
    <w:rsid w:val="001D3125"/>
    <w:rsid w:val="001F01F6"/>
    <w:rsid w:val="001F1F84"/>
    <w:rsid w:val="00200BD6"/>
    <w:rsid w:val="002010FB"/>
    <w:rsid w:val="00202077"/>
    <w:rsid w:val="00216CA1"/>
    <w:rsid w:val="002252B0"/>
    <w:rsid w:val="00230669"/>
    <w:rsid w:val="0024514A"/>
    <w:rsid w:val="002553FF"/>
    <w:rsid w:val="002604CF"/>
    <w:rsid w:val="002641FC"/>
    <w:rsid w:val="002648F2"/>
    <w:rsid w:val="00274417"/>
    <w:rsid w:val="0028586D"/>
    <w:rsid w:val="00291A81"/>
    <w:rsid w:val="00292D96"/>
    <w:rsid w:val="002A5516"/>
    <w:rsid w:val="002A7368"/>
    <w:rsid w:val="002B2D03"/>
    <w:rsid w:val="002B56EF"/>
    <w:rsid w:val="002C0441"/>
    <w:rsid w:val="002C5DD1"/>
    <w:rsid w:val="002E0F91"/>
    <w:rsid w:val="002E1F0B"/>
    <w:rsid w:val="002E3B47"/>
    <w:rsid w:val="002E4E96"/>
    <w:rsid w:val="002E6473"/>
    <w:rsid w:val="002F2DC2"/>
    <w:rsid w:val="00306674"/>
    <w:rsid w:val="0030725D"/>
    <w:rsid w:val="00310B3D"/>
    <w:rsid w:val="00311937"/>
    <w:rsid w:val="003122D4"/>
    <w:rsid w:val="00313E39"/>
    <w:rsid w:val="003253F2"/>
    <w:rsid w:val="00330211"/>
    <w:rsid w:val="00335CAF"/>
    <w:rsid w:val="00336E81"/>
    <w:rsid w:val="00343EBA"/>
    <w:rsid w:val="00352A6B"/>
    <w:rsid w:val="003574B2"/>
    <w:rsid w:val="0036237B"/>
    <w:rsid w:val="0037047E"/>
    <w:rsid w:val="00380CE5"/>
    <w:rsid w:val="00386F51"/>
    <w:rsid w:val="003A1DC0"/>
    <w:rsid w:val="003A259D"/>
    <w:rsid w:val="003A6689"/>
    <w:rsid w:val="003A68E6"/>
    <w:rsid w:val="003A7EEA"/>
    <w:rsid w:val="003C4979"/>
    <w:rsid w:val="003C7A4C"/>
    <w:rsid w:val="003E109C"/>
    <w:rsid w:val="003E2C59"/>
    <w:rsid w:val="003E5C9D"/>
    <w:rsid w:val="003F0121"/>
    <w:rsid w:val="00403D6C"/>
    <w:rsid w:val="004111C7"/>
    <w:rsid w:val="0041347F"/>
    <w:rsid w:val="00416E66"/>
    <w:rsid w:val="004171B1"/>
    <w:rsid w:val="004254CA"/>
    <w:rsid w:val="004454E9"/>
    <w:rsid w:val="00451892"/>
    <w:rsid w:val="004655DE"/>
    <w:rsid w:val="00465BBD"/>
    <w:rsid w:val="0047583E"/>
    <w:rsid w:val="00476A97"/>
    <w:rsid w:val="00487D47"/>
    <w:rsid w:val="00490983"/>
    <w:rsid w:val="004A0142"/>
    <w:rsid w:val="004C180D"/>
    <w:rsid w:val="004E331E"/>
    <w:rsid w:val="004E35FE"/>
    <w:rsid w:val="004E5C87"/>
    <w:rsid w:val="00517838"/>
    <w:rsid w:val="005223AC"/>
    <w:rsid w:val="005244BF"/>
    <w:rsid w:val="0052741D"/>
    <w:rsid w:val="005278E7"/>
    <w:rsid w:val="00527CEE"/>
    <w:rsid w:val="00531099"/>
    <w:rsid w:val="00531962"/>
    <w:rsid w:val="00531DD4"/>
    <w:rsid w:val="00532434"/>
    <w:rsid w:val="00536B7E"/>
    <w:rsid w:val="0054352A"/>
    <w:rsid w:val="005576F5"/>
    <w:rsid w:val="00561AD2"/>
    <w:rsid w:val="00567836"/>
    <w:rsid w:val="00571C31"/>
    <w:rsid w:val="00575A8A"/>
    <w:rsid w:val="00583FD3"/>
    <w:rsid w:val="00594F2B"/>
    <w:rsid w:val="005951EB"/>
    <w:rsid w:val="005A10A7"/>
    <w:rsid w:val="005A3911"/>
    <w:rsid w:val="005B7AB8"/>
    <w:rsid w:val="005C35A4"/>
    <w:rsid w:val="005C5920"/>
    <w:rsid w:val="005D5A47"/>
    <w:rsid w:val="005E1C28"/>
    <w:rsid w:val="005E1FAB"/>
    <w:rsid w:val="005E5973"/>
    <w:rsid w:val="005F1CE3"/>
    <w:rsid w:val="006149EB"/>
    <w:rsid w:val="006321BD"/>
    <w:rsid w:val="00634379"/>
    <w:rsid w:val="00634CFD"/>
    <w:rsid w:val="0063536D"/>
    <w:rsid w:val="00636A90"/>
    <w:rsid w:val="006377D8"/>
    <w:rsid w:val="0064197C"/>
    <w:rsid w:val="00643D5F"/>
    <w:rsid w:val="00650456"/>
    <w:rsid w:val="006506EF"/>
    <w:rsid w:val="00666027"/>
    <w:rsid w:val="006700BE"/>
    <w:rsid w:val="00675328"/>
    <w:rsid w:val="00687ADA"/>
    <w:rsid w:val="00697BE7"/>
    <w:rsid w:val="006B273B"/>
    <w:rsid w:val="006B5603"/>
    <w:rsid w:val="006C76DD"/>
    <w:rsid w:val="006D0841"/>
    <w:rsid w:val="006D2F1E"/>
    <w:rsid w:val="006D45C6"/>
    <w:rsid w:val="006D5105"/>
    <w:rsid w:val="006E21E7"/>
    <w:rsid w:val="006E54AD"/>
    <w:rsid w:val="006F1E2B"/>
    <w:rsid w:val="006F2A4C"/>
    <w:rsid w:val="00704AA5"/>
    <w:rsid w:val="00715C72"/>
    <w:rsid w:val="00725748"/>
    <w:rsid w:val="00725C59"/>
    <w:rsid w:val="00727BE3"/>
    <w:rsid w:val="007409E3"/>
    <w:rsid w:val="00741B01"/>
    <w:rsid w:val="00750185"/>
    <w:rsid w:val="00750F9D"/>
    <w:rsid w:val="00752B19"/>
    <w:rsid w:val="00762C16"/>
    <w:rsid w:val="00765F24"/>
    <w:rsid w:val="00767379"/>
    <w:rsid w:val="00771267"/>
    <w:rsid w:val="007916EA"/>
    <w:rsid w:val="007A68FB"/>
    <w:rsid w:val="007B1764"/>
    <w:rsid w:val="007B417D"/>
    <w:rsid w:val="007B4E8C"/>
    <w:rsid w:val="007C1BE2"/>
    <w:rsid w:val="007C3248"/>
    <w:rsid w:val="007C5EE2"/>
    <w:rsid w:val="007C62E5"/>
    <w:rsid w:val="007D29E5"/>
    <w:rsid w:val="007D4D90"/>
    <w:rsid w:val="007D5B91"/>
    <w:rsid w:val="007D7714"/>
    <w:rsid w:val="007F0D84"/>
    <w:rsid w:val="007F1207"/>
    <w:rsid w:val="007F34E2"/>
    <w:rsid w:val="00804D11"/>
    <w:rsid w:val="008126A1"/>
    <w:rsid w:val="0082435A"/>
    <w:rsid w:val="00831E35"/>
    <w:rsid w:val="00833BB0"/>
    <w:rsid w:val="00836A52"/>
    <w:rsid w:val="00837590"/>
    <w:rsid w:val="00840877"/>
    <w:rsid w:val="00840F41"/>
    <w:rsid w:val="00852781"/>
    <w:rsid w:val="00881B30"/>
    <w:rsid w:val="00883AE3"/>
    <w:rsid w:val="00893647"/>
    <w:rsid w:val="00893FB7"/>
    <w:rsid w:val="008A5A5E"/>
    <w:rsid w:val="008A6F32"/>
    <w:rsid w:val="008A743C"/>
    <w:rsid w:val="008B33C9"/>
    <w:rsid w:val="008B6299"/>
    <w:rsid w:val="008B6F6A"/>
    <w:rsid w:val="008D01E7"/>
    <w:rsid w:val="008D6B97"/>
    <w:rsid w:val="008F1CCC"/>
    <w:rsid w:val="008F282B"/>
    <w:rsid w:val="00912B71"/>
    <w:rsid w:val="0091317E"/>
    <w:rsid w:val="00914B68"/>
    <w:rsid w:val="009247D3"/>
    <w:rsid w:val="00945870"/>
    <w:rsid w:val="00951A62"/>
    <w:rsid w:val="009570B0"/>
    <w:rsid w:val="009622E9"/>
    <w:rsid w:val="00974818"/>
    <w:rsid w:val="00991BFD"/>
    <w:rsid w:val="00992FF6"/>
    <w:rsid w:val="009A05FE"/>
    <w:rsid w:val="009B07BD"/>
    <w:rsid w:val="009B0E4E"/>
    <w:rsid w:val="009B3C1E"/>
    <w:rsid w:val="009B4063"/>
    <w:rsid w:val="009B60AA"/>
    <w:rsid w:val="009B60EA"/>
    <w:rsid w:val="009C66C4"/>
    <w:rsid w:val="009D0E77"/>
    <w:rsid w:val="009E0989"/>
    <w:rsid w:val="009E6B31"/>
    <w:rsid w:val="009F4198"/>
    <w:rsid w:val="00A0308B"/>
    <w:rsid w:val="00A07096"/>
    <w:rsid w:val="00A15C28"/>
    <w:rsid w:val="00A15CEF"/>
    <w:rsid w:val="00A21984"/>
    <w:rsid w:val="00A30FF3"/>
    <w:rsid w:val="00A37891"/>
    <w:rsid w:val="00A45E82"/>
    <w:rsid w:val="00A5420A"/>
    <w:rsid w:val="00A56300"/>
    <w:rsid w:val="00A57ABD"/>
    <w:rsid w:val="00A6376E"/>
    <w:rsid w:val="00A722CF"/>
    <w:rsid w:val="00A85AA1"/>
    <w:rsid w:val="00A926E3"/>
    <w:rsid w:val="00A972C7"/>
    <w:rsid w:val="00AA3F0D"/>
    <w:rsid w:val="00AB67CD"/>
    <w:rsid w:val="00AC4132"/>
    <w:rsid w:val="00AC5B45"/>
    <w:rsid w:val="00AD218F"/>
    <w:rsid w:val="00AE03D3"/>
    <w:rsid w:val="00AE2A72"/>
    <w:rsid w:val="00AE53B7"/>
    <w:rsid w:val="00AE6C18"/>
    <w:rsid w:val="00AE7799"/>
    <w:rsid w:val="00AF538A"/>
    <w:rsid w:val="00B02EF7"/>
    <w:rsid w:val="00B07B9F"/>
    <w:rsid w:val="00B1396B"/>
    <w:rsid w:val="00B22141"/>
    <w:rsid w:val="00B230E5"/>
    <w:rsid w:val="00B330BA"/>
    <w:rsid w:val="00B357C2"/>
    <w:rsid w:val="00B3790C"/>
    <w:rsid w:val="00B708FB"/>
    <w:rsid w:val="00B70F15"/>
    <w:rsid w:val="00B84053"/>
    <w:rsid w:val="00B91FF5"/>
    <w:rsid w:val="00B95EF2"/>
    <w:rsid w:val="00BA5F83"/>
    <w:rsid w:val="00BB6A66"/>
    <w:rsid w:val="00BC0AF4"/>
    <w:rsid w:val="00BC3F78"/>
    <w:rsid w:val="00BD5C88"/>
    <w:rsid w:val="00BE4186"/>
    <w:rsid w:val="00BE544F"/>
    <w:rsid w:val="00BE59CB"/>
    <w:rsid w:val="00BE5C00"/>
    <w:rsid w:val="00C15901"/>
    <w:rsid w:val="00C20ABF"/>
    <w:rsid w:val="00C34C77"/>
    <w:rsid w:val="00C40884"/>
    <w:rsid w:val="00C4226C"/>
    <w:rsid w:val="00C45C88"/>
    <w:rsid w:val="00C45EAC"/>
    <w:rsid w:val="00C502EE"/>
    <w:rsid w:val="00C5127F"/>
    <w:rsid w:val="00C54CCD"/>
    <w:rsid w:val="00C56410"/>
    <w:rsid w:val="00C574FA"/>
    <w:rsid w:val="00C6074A"/>
    <w:rsid w:val="00C6251C"/>
    <w:rsid w:val="00C676F3"/>
    <w:rsid w:val="00C87461"/>
    <w:rsid w:val="00C87FB7"/>
    <w:rsid w:val="00C91729"/>
    <w:rsid w:val="00C9313B"/>
    <w:rsid w:val="00C96851"/>
    <w:rsid w:val="00CA444B"/>
    <w:rsid w:val="00CA454D"/>
    <w:rsid w:val="00CB1069"/>
    <w:rsid w:val="00CC33AC"/>
    <w:rsid w:val="00CD384E"/>
    <w:rsid w:val="00CE11EE"/>
    <w:rsid w:val="00CF187D"/>
    <w:rsid w:val="00CF1F70"/>
    <w:rsid w:val="00CF2381"/>
    <w:rsid w:val="00CF48B1"/>
    <w:rsid w:val="00D07113"/>
    <w:rsid w:val="00D12949"/>
    <w:rsid w:val="00D12C28"/>
    <w:rsid w:val="00D17F3C"/>
    <w:rsid w:val="00D41505"/>
    <w:rsid w:val="00D43960"/>
    <w:rsid w:val="00D4661D"/>
    <w:rsid w:val="00D6656E"/>
    <w:rsid w:val="00D9062B"/>
    <w:rsid w:val="00DA1A86"/>
    <w:rsid w:val="00DA633D"/>
    <w:rsid w:val="00DA7638"/>
    <w:rsid w:val="00DC54CE"/>
    <w:rsid w:val="00DD0FCE"/>
    <w:rsid w:val="00DD669C"/>
    <w:rsid w:val="00DF3841"/>
    <w:rsid w:val="00E03276"/>
    <w:rsid w:val="00E03A36"/>
    <w:rsid w:val="00E15F4D"/>
    <w:rsid w:val="00E23BB6"/>
    <w:rsid w:val="00E4345C"/>
    <w:rsid w:val="00E53413"/>
    <w:rsid w:val="00E55372"/>
    <w:rsid w:val="00E55A69"/>
    <w:rsid w:val="00E62014"/>
    <w:rsid w:val="00E6334C"/>
    <w:rsid w:val="00E70743"/>
    <w:rsid w:val="00E77830"/>
    <w:rsid w:val="00E8090D"/>
    <w:rsid w:val="00E87E96"/>
    <w:rsid w:val="00E969E8"/>
    <w:rsid w:val="00EA263F"/>
    <w:rsid w:val="00EA35BF"/>
    <w:rsid w:val="00EB40DF"/>
    <w:rsid w:val="00EC244C"/>
    <w:rsid w:val="00ED052D"/>
    <w:rsid w:val="00EE67AD"/>
    <w:rsid w:val="00EE70A1"/>
    <w:rsid w:val="00EF0CE3"/>
    <w:rsid w:val="00EF24A7"/>
    <w:rsid w:val="00EF6B9F"/>
    <w:rsid w:val="00F06585"/>
    <w:rsid w:val="00F21006"/>
    <w:rsid w:val="00F218EB"/>
    <w:rsid w:val="00F222FD"/>
    <w:rsid w:val="00F25CAB"/>
    <w:rsid w:val="00F334D9"/>
    <w:rsid w:val="00F4162B"/>
    <w:rsid w:val="00F57022"/>
    <w:rsid w:val="00F62E83"/>
    <w:rsid w:val="00F9767F"/>
    <w:rsid w:val="00FA0037"/>
    <w:rsid w:val="00FB1345"/>
    <w:rsid w:val="00FB6673"/>
    <w:rsid w:val="00FC4C58"/>
    <w:rsid w:val="00FD4EE0"/>
    <w:rsid w:val="00FD50F8"/>
    <w:rsid w:val="00FE214F"/>
    <w:rsid w:val="00FE2969"/>
    <w:rsid w:val="00FE3080"/>
    <w:rsid w:val="00FE3749"/>
    <w:rsid w:val="00FF0336"/>
    <w:rsid w:val="00FF6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59933537">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56908316">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2854329">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341786460">
      <w:bodyDiv w:val="1"/>
      <w:marLeft w:val="0"/>
      <w:marRight w:val="0"/>
      <w:marTop w:val="0"/>
      <w:marBottom w:val="0"/>
      <w:divBdr>
        <w:top w:val="none" w:sz="0" w:space="0" w:color="auto"/>
        <w:left w:val="none" w:sz="0" w:space="0" w:color="auto"/>
        <w:bottom w:val="none" w:sz="0" w:space="0" w:color="auto"/>
        <w:right w:val="none" w:sz="0" w:space="0" w:color="auto"/>
      </w:divBdr>
    </w:div>
    <w:div w:id="397631876">
      <w:bodyDiv w:val="1"/>
      <w:marLeft w:val="0"/>
      <w:marRight w:val="0"/>
      <w:marTop w:val="0"/>
      <w:marBottom w:val="0"/>
      <w:divBdr>
        <w:top w:val="none" w:sz="0" w:space="0" w:color="auto"/>
        <w:left w:val="none" w:sz="0" w:space="0" w:color="auto"/>
        <w:bottom w:val="none" w:sz="0" w:space="0" w:color="auto"/>
        <w:right w:val="none" w:sz="0" w:space="0" w:color="auto"/>
      </w:divBdr>
    </w:div>
    <w:div w:id="413206597">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94654">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727581480">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15292750">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215964283">
      <w:bodyDiv w:val="1"/>
      <w:marLeft w:val="0"/>
      <w:marRight w:val="0"/>
      <w:marTop w:val="0"/>
      <w:marBottom w:val="0"/>
      <w:divBdr>
        <w:top w:val="none" w:sz="0" w:space="0" w:color="auto"/>
        <w:left w:val="none" w:sz="0" w:space="0" w:color="auto"/>
        <w:bottom w:val="none" w:sz="0" w:space="0" w:color="auto"/>
        <w:right w:val="none" w:sz="0" w:space="0" w:color="auto"/>
      </w:divBdr>
    </w:div>
    <w:div w:id="1226918607">
      <w:bodyDiv w:val="1"/>
      <w:marLeft w:val="0"/>
      <w:marRight w:val="0"/>
      <w:marTop w:val="0"/>
      <w:marBottom w:val="0"/>
      <w:divBdr>
        <w:top w:val="none" w:sz="0" w:space="0" w:color="auto"/>
        <w:left w:val="none" w:sz="0" w:space="0" w:color="auto"/>
        <w:bottom w:val="none" w:sz="0" w:space="0" w:color="auto"/>
        <w:right w:val="none" w:sz="0" w:space="0" w:color="auto"/>
      </w:divBdr>
    </w:div>
    <w:div w:id="1359307521">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1551">
      <w:bodyDiv w:val="1"/>
      <w:marLeft w:val="0"/>
      <w:marRight w:val="0"/>
      <w:marTop w:val="0"/>
      <w:marBottom w:val="0"/>
      <w:divBdr>
        <w:top w:val="none" w:sz="0" w:space="0" w:color="auto"/>
        <w:left w:val="none" w:sz="0" w:space="0" w:color="auto"/>
        <w:bottom w:val="none" w:sz="0" w:space="0" w:color="auto"/>
        <w:right w:val="none" w:sz="0" w:space="0" w:color="auto"/>
      </w:divBdr>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725062248">
      <w:bodyDiv w:val="1"/>
      <w:marLeft w:val="0"/>
      <w:marRight w:val="0"/>
      <w:marTop w:val="0"/>
      <w:marBottom w:val="0"/>
      <w:divBdr>
        <w:top w:val="none" w:sz="0" w:space="0" w:color="auto"/>
        <w:left w:val="none" w:sz="0" w:space="0" w:color="auto"/>
        <w:bottom w:val="none" w:sz="0" w:space="0" w:color="auto"/>
        <w:right w:val="none" w:sz="0" w:space="0" w:color="auto"/>
      </w:divBdr>
    </w:div>
    <w:div w:id="1763181927">
      <w:bodyDiv w:val="1"/>
      <w:marLeft w:val="0"/>
      <w:marRight w:val="0"/>
      <w:marTop w:val="0"/>
      <w:marBottom w:val="0"/>
      <w:divBdr>
        <w:top w:val="none" w:sz="0" w:space="0" w:color="auto"/>
        <w:left w:val="none" w:sz="0" w:space="0" w:color="auto"/>
        <w:bottom w:val="none" w:sz="0" w:space="0" w:color="auto"/>
        <w:right w:val="none" w:sz="0" w:space="0" w:color="auto"/>
      </w:divBdr>
    </w:div>
    <w:div w:id="1791319760">
      <w:bodyDiv w:val="1"/>
      <w:marLeft w:val="0"/>
      <w:marRight w:val="0"/>
      <w:marTop w:val="0"/>
      <w:marBottom w:val="0"/>
      <w:divBdr>
        <w:top w:val="none" w:sz="0" w:space="0" w:color="auto"/>
        <w:left w:val="none" w:sz="0" w:space="0" w:color="auto"/>
        <w:bottom w:val="none" w:sz="0" w:space="0" w:color="auto"/>
        <w:right w:val="none" w:sz="0" w:space="0" w:color="auto"/>
      </w:divBdr>
    </w:div>
    <w:div w:id="1807963520">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1966349121">
      <w:bodyDiv w:val="1"/>
      <w:marLeft w:val="0"/>
      <w:marRight w:val="0"/>
      <w:marTop w:val="0"/>
      <w:marBottom w:val="0"/>
      <w:divBdr>
        <w:top w:val="none" w:sz="0" w:space="0" w:color="auto"/>
        <w:left w:val="none" w:sz="0" w:space="0" w:color="auto"/>
        <w:bottom w:val="none" w:sz="0" w:space="0" w:color="auto"/>
        <w:right w:val="none" w:sz="0" w:space="0" w:color="auto"/>
      </w:divBdr>
    </w:div>
    <w:div w:id="1967076143">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 w:id="2059815531">
      <w:bodyDiv w:val="1"/>
      <w:marLeft w:val="0"/>
      <w:marRight w:val="0"/>
      <w:marTop w:val="0"/>
      <w:marBottom w:val="0"/>
      <w:divBdr>
        <w:top w:val="none" w:sz="0" w:space="0" w:color="auto"/>
        <w:left w:val="none" w:sz="0" w:space="0" w:color="auto"/>
        <w:bottom w:val="none" w:sz="0" w:space="0" w:color="auto"/>
        <w:right w:val="none" w:sz="0" w:space="0" w:color="auto"/>
      </w:divBdr>
    </w:div>
    <w:div w:id="2098135578">
      <w:bodyDiv w:val="1"/>
      <w:marLeft w:val="0"/>
      <w:marRight w:val="0"/>
      <w:marTop w:val="0"/>
      <w:marBottom w:val="0"/>
      <w:divBdr>
        <w:top w:val="none" w:sz="0" w:space="0" w:color="auto"/>
        <w:left w:val="none" w:sz="0" w:space="0" w:color="auto"/>
        <w:bottom w:val="none" w:sz="0" w:space="0" w:color="auto"/>
        <w:right w:val="none" w:sz="0" w:space="0" w:color="auto"/>
      </w:divBdr>
    </w:div>
    <w:div w:id="212850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DCEE-28F7-4B9C-AA68-95FBB8F4C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Mark Bonnett</cp:lastModifiedBy>
  <cp:revision>28</cp:revision>
  <dcterms:created xsi:type="dcterms:W3CDTF">2025-07-14T15:24:00Z</dcterms:created>
  <dcterms:modified xsi:type="dcterms:W3CDTF">2026-03-24T17:18:00Z</dcterms:modified>
</cp:coreProperties>
</file>