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D90B7" w14:textId="425F9009" w:rsidR="002E0F91" w:rsidRPr="00637EA1" w:rsidRDefault="002604CF" w:rsidP="009622E9">
      <w:pPr>
        <w:rPr>
          <w:rFonts w:ascii="Times New Roman" w:hAnsi="Times New Roman" w:cs="Times New Roman"/>
          <w:sz w:val="24"/>
          <w:szCs w:val="24"/>
        </w:rPr>
      </w:pPr>
      <w:r>
        <w:rPr>
          <w:rFonts w:ascii="Times New Roman" w:hAnsi="Times New Roman"/>
          <w:sz w:val="24"/>
        </w:rPr>
        <w:t xml:space="preserve">La Junta Estatal de Odontólogos (Junta) propone esta enmienda a la regla 22 TAC §114.6, relativa a las calificaciones generales para el registro o la certificación. La enmienda propuesta permite a los solicitantes presentar sus informes del </w:t>
      </w:r>
      <w:proofErr w:type="spellStart"/>
      <w:r>
        <w:rPr>
          <w:rFonts w:ascii="Times New Roman" w:hAnsi="Times New Roman"/>
          <w:sz w:val="24"/>
        </w:rPr>
        <w:t>National</w:t>
      </w:r>
      <w:proofErr w:type="spellEnd"/>
      <w:r>
        <w:rPr>
          <w:rFonts w:ascii="Times New Roman" w:hAnsi="Times New Roman"/>
          <w:sz w:val="24"/>
        </w:rPr>
        <w:t xml:space="preserve"> </w:t>
      </w:r>
      <w:proofErr w:type="spellStart"/>
      <w:r>
        <w:rPr>
          <w:rFonts w:ascii="Times New Roman" w:hAnsi="Times New Roman"/>
          <w:sz w:val="24"/>
        </w:rPr>
        <w:t>Practitioner</w:t>
      </w:r>
      <w:proofErr w:type="spellEnd"/>
      <w:r>
        <w:rPr>
          <w:rFonts w:ascii="Times New Roman" w:hAnsi="Times New Roman"/>
          <w:sz w:val="24"/>
        </w:rPr>
        <w:t xml:space="preserve"> Data Bank [Banco de Datos de Profesionales Nacionales] de forma electrónica.</w:t>
      </w:r>
    </w:p>
    <w:p w14:paraId="7AC0AD1A" w14:textId="7AAD7139" w:rsidR="002604CF" w:rsidRPr="00757754" w:rsidRDefault="002604CF" w:rsidP="009622E9">
      <w:pPr>
        <w:rPr>
          <w:rFonts w:ascii="Times New Roman" w:hAnsi="Times New Roman" w:cs="Times New Roman"/>
          <w:sz w:val="24"/>
          <w:szCs w:val="24"/>
        </w:rPr>
      </w:pPr>
      <w:r>
        <w:rPr>
          <w:rFonts w:ascii="Times New Roman" w:hAnsi="Times New Roman"/>
          <w:sz w:val="24"/>
        </w:rPr>
        <w:t xml:space="preserve">NOTA FISCAL: Casey Nichols, </w:t>
      </w:r>
      <w:proofErr w:type="gramStart"/>
      <w:r>
        <w:rPr>
          <w:rFonts w:ascii="Times New Roman" w:hAnsi="Times New Roman"/>
          <w:sz w:val="24"/>
        </w:rPr>
        <w:t>Directora Ejecutiva</w:t>
      </w:r>
      <w:proofErr w:type="gramEnd"/>
      <w:r>
        <w:rPr>
          <w:rFonts w:ascii="Times New Roman" w:hAnsi="Times New Roman"/>
          <w:sz w:val="24"/>
        </w:rPr>
        <w:t xml:space="preserve">, ha determinado que en el primer período de cinco años en que esté vigente la regla propuesta, la regla propuesta no tenga implicancias previsibles relativas a costos o rentas de los gobiernos estatal o local. </w:t>
      </w:r>
    </w:p>
    <w:p w14:paraId="4CBDAB64" w14:textId="45C0ED0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NOTA PÚBLICA DE COSTOS Y BENEFICIOS: Casey Nichols también ha determinado que, en el primer período de cinco años en que esté vigente la regla propuesta, el beneficio público anticipado como resultado de esta regla es la reducción de ciertos requisitos de licencia que pueden suponer una carga para los solicitantes. </w:t>
      </w:r>
    </w:p>
    <w:p w14:paraId="2364F95D" w14:textId="77777777" w:rsidR="002604CF" w:rsidRPr="00757754" w:rsidRDefault="002604CF" w:rsidP="002604CF">
      <w:pPr>
        <w:spacing w:after="0" w:line="240" w:lineRule="auto"/>
        <w:rPr>
          <w:rFonts w:ascii="Times New Roman" w:hAnsi="Times New Roman" w:cs="Times New Roman"/>
          <w:sz w:val="24"/>
          <w:szCs w:val="24"/>
        </w:rPr>
      </w:pPr>
    </w:p>
    <w:p w14:paraId="73BF3D0C"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EMPLEO LOCAL: Casey Nichols también ha determinado que la regla propuesta no afecta las economías y el empleo locales. </w:t>
      </w:r>
    </w:p>
    <w:p w14:paraId="0A95F484" w14:textId="77777777" w:rsidR="002604CF" w:rsidRPr="00757754" w:rsidRDefault="002604CF" w:rsidP="002604CF">
      <w:pPr>
        <w:spacing w:after="0" w:line="240" w:lineRule="auto"/>
        <w:rPr>
          <w:rFonts w:ascii="Times New Roman" w:hAnsi="Times New Roman" w:cs="Times New Roman"/>
          <w:sz w:val="24"/>
          <w:szCs w:val="24"/>
        </w:rPr>
      </w:pPr>
    </w:p>
    <w:p w14:paraId="35D228DF"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LAS PEQUEÑAS Y MICROEMPRESAS Y LA COMUNIDAD RURAL: Casey Nichols ha determinado que no se requiere una declaración de impacto económico y análisis de flexibilidad normativa para pequeñas empresas, microempresas y comunidades rurales para esta regla propuesta. </w:t>
      </w:r>
    </w:p>
    <w:p w14:paraId="5A76C056" w14:textId="77777777" w:rsidR="002604CF" w:rsidRPr="00757754" w:rsidRDefault="002604CF" w:rsidP="002604CF">
      <w:pPr>
        <w:spacing w:after="0" w:line="240" w:lineRule="auto"/>
        <w:rPr>
          <w:rFonts w:ascii="Times New Roman" w:hAnsi="Times New Roman" w:cs="Times New Roman"/>
          <w:sz w:val="24"/>
          <w:szCs w:val="24"/>
        </w:rPr>
      </w:pPr>
    </w:p>
    <w:p w14:paraId="408298CD" w14:textId="77777777" w:rsidR="00011435" w:rsidRPr="00011435" w:rsidRDefault="00011435" w:rsidP="00011435">
      <w:pPr>
        <w:spacing w:after="0" w:line="240" w:lineRule="auto"/>
        <w:rPr>
          <w:rFonts w:ascii="Times New Roman" w:hAnsi="Times New Roman" w:cs="Times New Roman"/>
          <w:sz w:val="24"/>
          <w:szCs w:val="24"/>
        </w:rPr>
      </w:pPr>
      <w:r>
        <w:rPr>
          <w:rFonts w:ascii="Times New Roman" w:hAnsi="Times New Roman"/>
          <w:sz w:val="24"/>
        </w:rPr>
        <w:t xml:space="preserve">DECLARACIÓN DE IMPACTO SOBRE EL CRECIMIENTO DEL GOBIERNO: La Junta ha determinado que, durante el primer período de cinco años en que esté vigente la regla, se aplicarían los siguientes efectos sobre el crecimiento gubernamental: (1) la regla propuesta no crea ni elimina un programa gubernamental; (2) la implementación de la regla propuesta no requiere la creación o eliminación de puestos de empleados; (3) la implementación de la regla propuesta no requiere un aumento o disminución en las asignaciones futuras; (4) la regla propuesta no requiere un aumento de las tasas pagadas a la agencia; (5) la regla propuesta crea una nueva regulación; (6) la regla propuesta no amplía una regulación existente; (7) la regla propuesta no aumenta ni disminuye la cantidad de personas sujetas a ella; y (8) la regla propuesta no afecta positiva o negativamente la economía del estado. </w:t>
      </w:r>
    </w:p>
    <w:p w14:paraId="485D4DA3" w14:textId="77777777" w:rsidR="000875D4" w:rsidRDefault="000875D4" w:rsidP="002604CF">
      <w:pPr>
        <w:spacing w:after="0" w:line="240" w:lineRule="auto"/>
        <w:rPr>
          <w:rFonts w:ascii="Times New Roman" w:hAnsi="Times New Roman" w:cs="Times New Roman"/>
          <w:sz w:val="24"/>
          <w:szCs w:val="24"/>
        </w:rPr>
      </w:pPr>
    </w:p>
    <w:p w14:paraId="2740DF1F" w14:textId="6EA185BD" w:rsidR="000875D4" w:rsidRDefault="000875D4" w:rsidP="002604CF">
      <w:pPr>
        <w:spacing w:after="0" w:line="240" w:lineRule="auto"/>
        <w:rPr>
          <w:rFonts w:ascii="Times New Roman" w:hAnsi="Times New Roman" w:cs="Times New Roman"/>
          <w:sz w:val="24"/>
          <w:szCs w:val="24"/>
        </w:rPr>
      </w:pPr>
      <w:r>
        <w:rPr>
          <w:rFonts w:ascii="Times New Roman" w:hAnsi="Times New Roman"/>
          <w:sz w:val="24"/>
        </w:rPr>
        <w:t>La Junta solicita comentarios públicos sobre la regla propuesta e información relacionada con el costo, beneficio o efecto de la regla propuesta, incluidos los datos, investigaciones o análisis aplicables. Toda información que se presente en respuesta a esta solicitud debe incluir una explicación de cómo y por qué la información presentada es específica a la regla propuesta.</w:t>
      </w:r>
    </w:p>
    <w:p w14:paraId="7DCE5659" w14:textId="77777777" w:rsidR="00352A6B" w:rsidRPr="00757754" w:rsidRDefault="00352A6B" w:rsidP="002604CF">
      <w:pPr>
        <w:spacing w:after="0" w:line="240" w:lineRule="auto"/>
        <w:rPr>
          <w:rFonts w:ascii="Times New Roman" w:hAnsi="Times New Roman" w:cs="Times New Roman"/>
          <w:sz w:val="24"/>
          <w:szCs w:val="24"/>
        </w:rPr>
      </w:pPr>
    </w:p>
    <w:p w14:paraId="373E0D73" w14:textId="77777777" w:rsidR="002604CF" w:rsidRPr="00757754" w:rsidRDefault="002604CF" w:rsidP="002604CF">
      <w:pPr>
        <w:spacing w:after="0" w:line="240" w:lineRule="auto"/>
        <w:rPr>
          <w:rFonts w:ascii="Times New Roman" w:hAnsi="Times New Roman" w:cs="Times New Roman"/>
          <w:sz w:val="24"/>
          <w:szCs w:val="24"/>
        </w:rPr>
      </w:pPr>
      <w:r>
        <w:rPr>
          <w:rFonts w:ascii="Times New Roman" w:hAnsi="Times New Roman"/>
          <w:sz w:val="24"/>
        </w:rPr>
        <w:t xml:space="preserve">Se pueden enviar comentarios sobre la regla propuesta a Casey Nichols, </w:t>
      </w:r>
      <w:proofErr w:type="gramStart"/>
      <w:r>
        <w:rPr>
          <w:rFonts w:ascii="Times New Roman" w:hAnsi="Times New Roman"/>
          <w:sz w:val="24"/>
        </w:rPr>
        <w:t>Directora Ejecutiva</w:t>
      </w:r>
      <w:proofErr w:type="gramEnd"/>
      <w:r>
        <w:rPr>
          <w:rFonts w:ascii="Times New Roman" w:hAnsi="Times New Roman"/>
          <w:sz w:val="24"/>
        </w:rPr>
        <w:t xml:space="preserve">, a 1801 </w:t>
      </w:r>
      <w:proofErr w:type="spellStart"/>
      <w:r>
        <w:rPr>
          <w:rFonts w:ascii="Times New Roman" w:hAnsi="Times New Roman"/>
          <w:sz w:val="24"/>
        </w:rPr>
        <w:t>Congress</w:t>
      </w:r>
      <w:proofErr w:type="spellEnd"/>
      <w:r>
        <w:rPr>
          <w:rFonts w:ascii="Times New Roman" w:hAnsi="Times New Roman"/>
          <w:sz w:val="24"/>
        </w:rPr>
        <w:t xml:space="preserve"> Avenue, Suite 8.600, Austin, Texas 78701, por fax al (512) 649-2482, o por correo electrónico a official_rules_comments@tsbde.texas.gov durante 30 días luego de la fecha de publicación de la regla propuesta en el </w:t>
      </w:r>
      <w:r>
        <w:rPr>
          <w:rFonts w:ascii="Times New Roman" w:hAnsi="Times New Roman"/>
          <w:i/>
          <w:sz w:val="24"/>
        </w:rPr>
        <w:t>Registro de Texas</w:t>
      </w:r>
      <w:r>
        <w:rPr>
          <w:rFonts w:ascii="Times New Roman" w:hAnsi="Times New Roman"/>
          <w:sz w:val="24"/>
        </w:rPr>
        <w:t xml:space="preserve">. Para que se tenga en cuenta a fines de esta creación de reglas, los comentarios deben: (1) tener sello postal o enviarse antes del último día del período de comentarios; o (2) enviarse por fax o correo electrónico antes de la medianoche del último día del período de comentarios. </w:t>
      </w:r>
    </w:p>
    <w:p w14:paraId="6296CFD0" w14:textId="77777777" w:rsidR="002604CF" w:rsidRPr="00757754" w:rsidRDefault="002604CF" w:rsidP="002604CF">
      <w:pPr>
        <w:spacing w:after="0" w:line="240" w:lineRule="auto"/>
        <w:rPr>
          <w:rFonts w:ascii="Times New Roman" w:hAnsi="Times New Roman" w:cs="Times New Roman"/>
          <w:sz w:val="24"/>
          <w:szCs w:val="24"/>
        </w:rPr>
      </w:pPr>
    </w:p>
    <w:p w14:paraId="71558DB0" w14:textId="5276E070" w:rsidR="00AD218F" w:rsidRDefault="002604CF" w:rsidP="00F57022">
      <w:pPr>
        <w:rPr>
          <w:rFonts w:ascii="Times New Roman" w:hAnsi="Times New Roman" w:cs="Times New Roman"/>
          <w:sz w:val="24"/>
          <w:szCs w:val="24"/>
        </w:rPr>
      </w:pPr>
      <w:r>
        <w:rPr>
          <w:rFonts w:ascii="Times New Roman" w:hAnsi="Times New Roman"/>
          <w:sz w:val="24"/>
        </w:rPr>
        <w:lastRenderedPageBreak/>
        <w:t>Esta regla se propone conforme a la regla 254.001(a) del Código de Ocupaciones de Texas, que reviste a la Junta de autoridad para adoptar reglas necesarias para realizar sus tareas y garantizar el cumplimiento de las leyes estatales con respecto a la práctica de la odontología en un ámbito profesional para proteger la salud pública y la seguridad.</w:t>
      </w:r>
    </w:p>
    <w:p w14:paraId="1BE6D5B7" w14:textId="4BB067D7" w:rsidR="008774A3" w:rsidRDefault="008774A3" w:rsidP="00F57022">
      <w:pPr>
        <w:rPr>
          <w:rFonts w:ascii="Times New Roman" w:hAnsi="Times New Roman" w:cs="Times New Roman"/>
          <w:sz w:val="24"/>
          <w:szCs w:val="24"/>
        </w:rPr>
      </w:pPr>
      <w:r>
        <w:rPr>
          <w:rFonts w:ascii="Times New Roman" w:hAnsi="Times New Roman"/>
          <w:sz w:val="24"/>
        </w:rPr>
        <w:t>La presente propuesta no afecta a otros estatutos, artículos o códigos.</w:t>
      </w:r>
    </w:p>
    <w:p w14:paraId="38454A84" w14:textId="77A6D6F3" w:rsidR="00E55A69" w:rsidRDefault="002604CF" w:rsidP="00E55372">
      <w:pPr>
        <w:spacing w:after="0" w:line="240" w:lineRule="auto"/>
        <w:rPr>
          <w:rFonts w:ascii="Times New Roman" w:hAnsi="Times New Roman" w:cs="Times New Roman"/>
          <w:sz w:val="24"/>
          <w:szCs w:val="24"/>
        </w:rPr>
      </w:pPr>
      <w:r>
        <w:rPr>
          <w:rFonts w:ascii="Times New Roman" w:hAnsi="Times New Roman"/>
          <w:sz w:val="24"/>
        </w:rPr>
        <w:t xml:space="preserve">Los asesores legales de la Junta han revisado la regla propuesta y determinado que su adopción se encuentra dentro de la autoridad de la Junta. </w:t>
      </w:r>
    </w:p>
    <w:p w14:paraId="5EC3602B" w14:textId="77777777" w:rsidR="00AD218F" w:rsidRPr="00E55372" w:rsidRDefault="00AD218F" w:rsidP="00E55372">
      <w:pPr>
        <w:spacing w:after="0" w:line="240" w:lineRule="auto"/>
        <w:rPr>
          <w:rFonts w:ascii="Times New Roman" w:hAnsi="Times New Roman" w:cs="Times New Roman"/>
          <w:sz w:val="24"/>
          <w:szCs w:val="24"/>
        </w:rPr>
      </w:pPr>
    </w:p>
    <w:p w14:paraId="45D27804" w14:textId="2251D42B" w:rsidR="002604CF" w:rsidRPr="00757754" w:rsidRDefault="002604CF" w:rsidP="002604CF">
      <w:pPr>
        <w:spacing w:after="0" w:line="240" w:lineRule="auto"/>
        <w:rPr>
          <w:rFonts w:ascii="Times New Roman" w:eastAsia="Times New Roman" w:hAnsi="Times New Roman" w:cs="Times New Roman"/>
          <w:sz w:val="24"/>
          <w:szCs w:val="24"/>
        </w:rPr>
      </w:pPr>
      <w:r>
        <w:rPr>
          <w:rFonts w:ascii="Times New Roman" w:hAnsi="Times New Roman"/>
          <w:sz w:val="24"/>
        </w:rPr>
        <w:t>&lt;regla&gt;</w:t>
      </w:r>
    </w:p>
    <w:p w14:paraId="035143E8" w14:textId="77777777" w:rsidR="00171F70" w:rsidRPr="00B357C2" w:rsidRDefault="00171F70" w:rsidP="00465BBD">
      <w:pPr>
        <w:spacing w:after="0" w:line="240" w:lineRule="auto"/>
        <w:rPr>
          <w:rFonts w:ascii="Times New Roman" w:eastAsia="Times New Roman" w:hAnsi="Times New Roman" w:cs="Times New Roman"/>
          <w:sz w:val="24"/>
          <w:szCs w:val="24"/>
        </w:rPr>
      </w:pPr>
    </w:p>
    <w:p w14:paraId="62D6448B" w14:textId="6EDA302F" w:rsidR="00C96851" w:rsidRPr="00A3563E" w:rsidRDefault="00465BBD" w:rsidP="00465BBD">
      <w:pPr>
        <w:spacing w:after="0" w:line="240" w:lineRule="auto"/>
        <w:rPr>
          <w:rFonts w:ascii="Times New Roman" w:eastAsia="Times New Roman" w:hAnsi="Times New Roman" w:cs="Times New Roman"/>
          <w:sz w:val="24"/>
          <w:szCs w:val="24"/>
        </w:rPr>
      </w:pPr>
      <w:r>
        <w:rPr>
          <w:rFonts w:ascii="Times New Roman" w:hAnsi="Times New Roman"/>
          <w:sz w:val="24"/>
        </w:rPr>
        <w:t xml:space="preserve">§114.6. Calificaciones generales para el registro o la certificación. </w:t>
      </w:r>
    </w:p>
    <w:p w14:paraId="72897A4D" w14:textId="2CBD7024" w:rsidR="00453073" w:rsidRPr="00AF0930" w:rsidRDefault="00453073" w:rsidP="00453073">
      <w:pPr>
        <w:tabs>
          <w:tab w:val="left" w:pos="3405"/>
        </w:tabs>
        <w:spacing w:after="0" w:line="240" w:lineRule="auto"/>
        <w:rPr>
          <w:rFonts w:ascii="Times New Roman" w:eastAsia="Times New Roman" w:hAnsi="Times New Roman" w:cs="Times New Roman"/>
          <w:sz w:val="24"/>
          <w:szCs w:val="24"/>
        </w:rPr>
      </w:pPr>
      <w:r>
        <w:rPr>
          <w:rFonts w:ascii="Times New Roman" w:hAnsi="Times New Roman"/>
          <w:sz w:val="24"/>
        </w:rPr>
        <w:tab/>
      </w:r>
    </w:p>
    <w:p w14:paraId="24E53B8F"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(a) Toda persona que desee prestar servicios de asistente dental que requieran registro o certificación deberá obtener el registro o la certificación correspondiente emitida por la Junta antes de prestar dichos servicios, salvo lo dispuesto en el Código de Ocupaciones de Texas, §265.001(d) y §114.11 de este capítulo.</w:t>
      </w:r>
    </w:p>
    <w:p w14:paraId="092A9EBD" w14:textId="77777777" w:rsidR="00DE1793" w:rsidRPr="00DE1793" w:rsidRDefault="00DE1793" w:rsidP="00DE1793">
      <w:pPr>
        <w:spacing w:after="0" w:line="240" w:lineRule="auto"/>
        <w:rPr>
          <w:rFonts w:ascii="Times New Roman" w:hAnsi="Times New Roman" w:cs="Times New Roman"/>
          <w:sz w:val="24"/>
          <w:szCs w:val="24"/>
        </w:rPr>
      </w:pPr>
    </w:p>
    <w:p w14:paraId="43187E92"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(b) Todo solicitante de registro o certificación deberá cumplir con los requisitos de este capítulo.</w:t>
      </w:r>
    </w:p>
    <w:p w14:paraId="1DBC6C93" w14:textId="77777777" w:rsidR="00DE1793" w:rsidRPr="00DE1793" w:rsidRDefault="00DE1793" w:rsidP="00DE1793">
      <w:pPr>
        <w:spacing w:after="0" w:line="240" w:lineRule="auto"/>
        <w:rPr>
          <w:rFonts w:ascii="Times New Roman" w:hAnsi="Times New Roman" w:cs="Times New Roman"/>
          <w:sz w:val="24"/>
          <w:szCs w:val="24"/>
        </w:rPr>
      </w:pPr>
    </w:p>
    <w:p w14:paraId="609E0C75"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(c) Para ser elegible para el registro o la certificación, el solicitante deberá presentar, junto con un formulario de solicitud aprobado por la Junta, prueba satisfactoria para la Junta de que el solicitante:</w:t>
      </w:r>
    </w:p>
    <w:p w14:paraId="2A50C22A" w14:textId="77777777" w:rsidR="00DE1793" w:rsidRPr="00DE1793" w:rsidRDefault="00DE1793" w:rsidP="00DE1793">
      <w:pPr>
        <w:spacing w:after="0" w:line="240" w:lineRule="auto"/>
        <w:rPr>
          <w:rFonts w:ascii="Times New Roman" w:hAnsi="Times New Roman" w:cs="Times New Roman"/>
          <w:sz w:val="24"/>
          <w:szCs w:val="24"/>
        </w:rPr>
      </w:pPr>
    </w:p>
    <w:p w14:paraId="7735A10B"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(1) ha cumplido con todos los requisitos de registro o certificación establecidos en este capítulo;</w:t>
      </w:r>
    </w:p>
    <w:p w14:paraId="5F701064" w14:textId="77777777" w:rsidR="00DE1793" w:rsidRPr="00DE1793" w:rsidRDefault="00DE1793" w:rsidP="00DE1793">
      <w:pPr>
        <w:spacing w:after="0" w:line="240" w:lineRule="auto"/>
        <w:rPr>
          <w:rFonts w:ascii="Times New Roman" w:hAnsi="Times New Roman" w:cs="Times New Roman"/>
          <w:sz w:val="24"/>
          <w:szCs w:val="24"/>
        </w:rPr>
      </w:pPr>
    </w:p>
    <w:p w14:paraId="6931ADA8"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(2) ha presentado documentación que comprueba su ciudadanía estadounidense, residencia legal permanente en los Estados Unidos, o autorización federal de trabajo. Este requisito se aplica a las solicitudes iniciales y de renovación. El solicitante debe presentar uno de los siguientes:</w:t>
      </w:r>
    </w:p>
    <w:p w14:paraId="31E0045D" w14:textId="77777777" w:rsidR="00DE1793" w:rsidRPr="00DE1793" w:rsidRDefault="00DE1793" w:rsidP="00DE1793">
      <w:pPr>
        <w:spacing w:after="0" w:line="240" w:lineRule="auto"/>
        <w:rPr>
          <w:rFonts w:ascii="Times New Roman" w:hAnsi="Times New Roman" w:cs="Times New Roman"/>
          <w:sz w:val="24"/>
          <w:szCs w:val="24"/>
        </w:rPr>
      </w:pPr>
    </w:p>
    <w:p w14:paraId="7A1420B3" w14:textId="18EAD4C2"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 xml:space="preserve">(A) Una licencia de conducir válida y vigente o un certificado de identificación estatal emitido por un estado o territorio de los Estados Unidos que cumpla con los requisitos mínimos de documentación y estándares de emisión para el reconocimiento federal conforme a la Ley REAL ID de 2005, la Ley Pública 109-13, a menos que la licencia de conducir esté marcada como </w:t>
      </w:r>
      <w:r w:rsidR="00150B99">
        <w:rPr>
          <w:rFonts w:ascii="Times New Roman" w:hAnsi="Times New Roman"/>
          <w:sz w:val="24"/>
        </w:rPr>
        <w:t>“</w:t>
      </w:r>
      <w:r>
        <w:rPr>
          <w:rFonts w:ascii="Times New Roman" w:hAnsi="Times New Roman"/>
          <w:sz w:val="24"/>
        </w:rPr>
        <w:t>Plazo Limitado</w:t>
      </w:r>
      <w:r w:rsidR="00150B99">
        <w:rPr>
          <w:rFonts w:ascii="Times New Roman" w:hAnsi="Times New Roman"/>
          <w:sz w:val="24"/>
        </w:rPr>
        <w:t>”</w:t>
      </w:r>
      <w:r>
        <w:rPr>
          <w:rFonts w:ascii="Times New Roman" w:hAnsi="Times New Roman"/>
          <w:sz w:val="24"/>
        </w:rPr>
        <w:t xml:space="preserve"> o </w:t>
      </w:r>
      <w:r w:rsidR="00150B99">
        <w:rPr>
          <w:rFonts w:ascii="Times New Roman" w:hAnsi="Times New Roman"/>
          <w:sz w:val="24"/>
        </w:rPr>
        <w:t>“</w:t>
      </w:r>
      <w:r>
        <w:rPr>
          <w:rFonts w:ascii="Times New Roman" w:hAnsi="Times New Roman"/>
          <w:sz w:val="24"/>
        </w:rPr>
        <w:t>Temporaria</w:t>
      </w:r>
      <w:r w:rsidR="00150B99">
        <w:rPr>
          <w:rFonts w:ascii="Times New Roman" w:hAnsi="Times New Roman"/>
          <w:sz w:val="24"/>
        </w:rPr>
        <w:t>”</w:t>
      </w:r>
      <w:r>
        <w:rPr>
          <w:rFonts w:ascii="Times New Roman" w:hAnsi="Times New Roman"/>
          <w:sz w:val="24"/>
        </w:rPr>
        <w:t>;</w:t>
      </w:r>
    </w:p>
    <w:p w14:paraId="713766B7" w14:textId="77777777" w:rsidR="00DE1793" w:rsidRPr="00DE1793" w:rsidRDefault="00DE1793" w:rsidP="00DE1793">
      <w:pPr>
        <w:spacing w:after="0" w:line="240" w:lineRule="auto"/>
        <w:rPr>
          <w:rFonts w:ascii="Times New Roman" w:hAnsi="Times New Roman" w:cs="Times New Roman"/>
          <w:sz w:val="24"/>
          <w:szCs w:val="24"/>
        </w:rPr>
      </w:pPr>
    </w:p>
    <w:p w14:paraId="756C65B3"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 xml:space="preserve">(B) Una licencia de conducir válida y vigente o un certificado de identificación estatal que no cumpla con la REAL ID emitida por uno de los siguientes estados: Alabama, Alaska, Arizona, Arkansas, Florida, Georgia, Idaho, Indiana, Iowa, Kansas, Kentucky, </w:t>
      </w:r>
      <w:proofErr w:type="spellStart"/>
      <w:r>
        <w:rPr>
          <w:rFonts w:ascii="Times New Roman" w:hAnsi="Times New Roman"/>
          <w:sz w:val="24"/>
        </w:rPr>
        <w:t>Louisiana</w:t>
      </w:r>
      <w:proofErr w:type="spellEnd"/>
      <w:r>
        <w:rPr>
          <w:rFonts w:ascii="Times New Roman" w:hAnsi="Times New Roman"/>
          <w:sz w:val="24"/>
        </w:rPr>
        <w:t>, Maine, Michigan, Mississippi, Missouri, Montana, Nebraska, New Hampshire, Carolina del Norte, Dakota del Norte, Ohio, Oklahoma, Pensilvania, Carolina del Sur, Dakota del Sur, Tennessee, Texas, Virginia Occidental, Wisconsin o Wyoming;</w:t>
      </w:r>
    </w:p>
    <w:p w14:paraId="5A868188" w14:textId="77777777" w:rsidR="00DE1793" w:rsidRPr="00DE1793" w:rsidRDefault="00DE1793" w:rsidP="00DE1793">
      <w:pPr>
        <w:spacing w:after="0" w:line="240" w:lineRule="auto"/>
        <w:rPr>
          <w:rFonts w:ascii="Times New Roman" w:hAnsi="Times New Roman" w:cs="Times New Roman"/>
          <w:sz w:val="24"/>
          <w:szCs w:val="24"/>
        </w:rPr>
      </w:pPr>
    </w:p>
    <w:p w14:paraId="752421D5" w14:textId="718087D2" w:rsidR="00DE1793" w:rsidRPr="00DE1793" w:rsidRDefault="00150B99" w:rsidP="00DE1793">
      <w:pPr>
        <w:spacing w:after="0" w:line="240" w:lineRule="auto"/>
        <w:rPr>
          <w:rFonts w:ascii="Times New Roman" w:hAnsi="Times New Roman" w:cs="Times New Roman"/>
          <w:sz w:val="24"/>
          <w:szCs w:val="24"/>
        </w:rPr>
      </w:pPr>
      <w:r>
        <w:rPr>
          <w:rFonts w:ascii="Times New Roman" w:hAnsi="Times New Roman"/>
          <w:sz w:val="24"/>
        </w:rPr>
        <w:t>(</w:t>
      </w:r>
      <w:r w:rsidR="00DE1793">
        <w:rPr>
          <w:rFonts w:ascii="Times New Roman" w:hAnsi="Times New Roman"/>
          <w:sz w:val="24"/>
        </w:rPr>
        <w:t>C) Un pasaporte válido. El pasaporte válido se define como:</w:t>
      </w:r>
    </w:p>
    <w:p w14:paraId="0632EA02" w14:textId="77777777" w:rsidR="00DE1793" w:rsidRPr="00DE1793" w:rsidRDefault="00DE1793" w:rsidP="00DE1793">
      <w:pPr>
        <w:spacing w:after="0" w:line="240" w:lineRule="auto"/>
        <w:rPr>
          <w:rFonts w:ascii="Times New Roman" w:hAnsi="Times New Roman" w:cs="Times New Roman"/>
          <w:sz w:val="24"/>
          <w:szCs w:val="24"/>
        </w:rPr>
      </w:pPr>
    </w:p>
    <w:p w14:paraId="6A480B7E"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(i) Un pasaporte o tarjeta de pasaporte vigente emitida por el gobierno de los Estados Unidos; o</w:t>
      </w:r>
    </w:p>
    <w:p w14:paraId="68EDC686" w14:textId="77777777" w:rsidR="00DE1793" w:rsidRPr="00DE1793" w:rsidRDefault="00DE1793" w:rsidP="00DE1793">
      <w:pPr>
        <w:spacing w:after="0" w:line="240" w:lineRule="auto"/>
        <w:rPr>
          <w:rFonts w:ascii="Times New Roman" w:hAnsi="Times New Roman" w:cs="Times New Roman"/>
          <w:sz w:val="24"/>
          <w:szCs w:val="24"/>
        </w:rPr>
      </w:pPr>
    </w:p>
    <w:p w14:paraId="04E5F626"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w:t>
      </w:r>
      <w:proofErr w:type="spellStart"/>
      <w:r>
        <w:rPr>
          <w:rFonts w:ascii="Times New Roman" w:hAnsi="Times New Roman"/>
          <w:sz w:val="24"/>
        </w:rPr>
        <w:t>ii</w:t>
      </w:r>
      <w:proofErr w:type="spellEnd"/>
      <w:r>
        <w:rPr>
          <w:rFonts w:ascii="Times New Roman" w:hAnsi="Times New Roman"/>
          <w:sz w:val="24"/>
        </w:rPr>
        <w:t>) Un pasaporte vigente emitido por el gobierno de otro país acompañado de una tarjeta de residente permanente actual o visa de inmigrante vigente emitida por el Departamento de Seguridad Nacional de los Estados Unidos;</w:t>
      </w:r>
    </w:p>
    <w:p w14:paraId="0520BFC3" w14:textId="77777777" w:rsidR="00DE1793" w:rsidRPr="00DE1793" w:rsidRDefault="00DE1793" w:rsidP="00DE1793">
      <w:pPr>
        <w:spacing w:after="0" w:line="240" w:lineRule="auto"/>
        <w:rPr>
          <w:rFonts w:ascii="Times New Roman" w:hAnsi="Times New Roman" w:cs="Times New Roman"/>
          <w:sz w:val="24"/>
          <w:szCs w:val="24"/>
        </w:rPr>
      </w:pPr>
    </w:p>
    <w:p w14:paraId="546958E8"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(D) una licencia válida y vigente para portar una pistola emitida por el Departamento de Seguridad Pública de Texas conforme al Código de Gobierno, Capítulo 411, Subcapítulo H;</w:t>
      </w:r>
    </w:p>
    <w:p w14:paraId="6884978B" w14:textId="77777777" w:rsidR="00DE1793" w:rsidRPr="00DE1793" w:rsidRDefault="00DE1793" w:rsidP="00DE1793">
      <w:pPr>
        <w:spacing w:after="0" w:line="240" w:lineRule="auto"/>
        <w:rPr>
          <w:rFonts w:ascii="Times New Roman" w:hAnsi="Times New Roman" w:cs="Times New Roman"/>
          <w:sz w:val="24"/>
          <w:szCs w:val="24"/>
        </w:rPr>
      </w:pPr>
    </w:p>
    <w:p w14:paraId="41B6927A"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(E) un Certificado de Naturalización de los Estados Unidos (Formulario N-550 o N-570); o</w:t>
      </w:r>
    </w:p>
    <w:p w14:paraId="141E2A24" w14:textId="77777777" w:rsidR="00DE1793" w:rsidRPr="00DE1793" w:rsidRDefault="00DE1793" w:rsidP="00DE1793">
      <w:pPr>
        <w:spacing w:after="0" w:line="240" w:lineRule="auto"/>
        <w:rPr>
          <w:rFonts w:ascii="Times New Roman" w:hAnsi="Times New Roman" w:cs="Times New Roman"/>
          <w:sz w:val="24"/>
          <w:szCs w:val="24"/>
        </w:rPr>
      </w:pPr>
    </w:p>
    <w:p w14:paraId="6443560E"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(F) un Certificado de Ciudadanía de los Estados Unidos (Formulario N-560 o N-561).</w:t>
      </w:r>
    </w:p>
    <w:p w14:paraId="06495305" w14:textId="77777777" w:rsidR="00DE1793" w:rsidRPr="00DE1793" w:rsidRDefault="00DE1793" w:rsidP="00DE1793">
      <w:pPr>
        <w:spacing w:after="0" w:line="240" w:lineRule="auto"/>
        <w:rPr>
          <w:rFonts w:ascii="Times New Roman" w:hAnsi="Times New Roman" w:cs="Times New Roman"/>
          <w:sz w:val="24"/>
          <w:szCs w:val="24"/>
        </w:rPr>
      </w:pPr>
    </w:p>
    <w:p w14:paraId="4602AAED"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(3) ha cumplido con todos los requisitos del Artículo 101.8 de este título (relativo a Personas con Antecedentes Penales);</w:t>
      </w:r>
    </w:p>
    <w:p w14:paraId="6F642434" w14:textId="77777777" w:rsidR="00DE1793" w:rsidRPr="00DE1793" w:rsidRDefault="00DE1793" w:rsidP="00DE1793">
      <w:pPr>
        <w:spacing w:after="0" w:line="240" w:lineRule="auto"/>
        <w:rPr>
          <w:rFonts w:ascii="Times New Roman" w:hAnsi="Times New Roman" w:cs="Times New Roman"/>
          <w:sz w:val="24"/>
          <w:szCs w:val="24"/>
        </w:rPr>
      </w:pPr>
    </w:p>
    <w:p w14:paraId="6FCDE47C"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(4) no se ha encontrado con sanciones disciplinarias tomadas en su contra en este estado ni en ninguna otra jurisdicción;</w:t>
      </w:r>
    </w:p>
    <w:p w14:paraId="48C36427" w14:textId="77777777" w:rsidR="00DE1793" w:rsidRPr="00DE1793" w:rsidRDefault="00DE1793" w:rsidP="00DE1793">
      <w:pPr>
        <w:spacing w:after="0" w:line="240" w:lineRule="auto"/>
        <w:rPr>
          <w:rFonts w:ascii="Times New Roman" w:hAnsi="Times New Roman" w:cs="Times New Roman"/>
          <w:sz w:val="24"/>
          <w:szCs w:val="24"/>
        </w:rPr>
      </w:pPr>
    </w:p>
    <w:p w14:paraId="0AE616CB"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(5) ha completado con éxito un curso actual de soporte vital básico;</w:t>
      </w:r>
    </w:p>
    <w:p w14:paraId="38052F6E" w14:textId="77777777" w:rsidR="00DE1793" w:rsidRPr="00DE1793" w:rsidRDefault="00DE1793" w:rsidP="00DE1793">
      <w:pPr>
        <w:spacing w:after="0" w:line="240" w:lineRule="auto"/>
        <w:rPr>
          <w:rFonts w:ascii="Times New Roman" w:hAnsi="Times New Roman" w:cs="Times New Roman"/>
          <w:sz w:val="24"/>
          <w:szCs w:val="24"/>
        </w:rPr>
      </w:pPr>
    </w:p>
    <w:p w14:paraId="39F965F4"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(6) ha tomado y aprobado la evaluación de jurisprudencia administrada por la Junta o una entidad designada por la Junta dentro de un año inmediatamente antes de la solicitud;</w:t>
      </w:r>
    </w:p>
    <w:p w14:paraId="2FC9170F" w14:textId="77777777" w:rsidR="00DE1793" w:rsidRPr="00DE1793" w:rsidRDefault="00DE1793" w:rsidP="00DE1793">
      <w:pPr>
        <w:spacing w:after="0" w:line="240" w:lineRule="auto"/>
        <w:rPr>
          <w:rFonts w:ascii="Times New Roman" w:hAnsi="Times New Roman" w:cs="Times New Roman"/>
          <w:sz w:val="24"/>
          <w:szCs w:val="24"/>
        </w:rPr>
      </w:pPr>
    </w:p>
    <w:p w14:paraId="508676FC" w14:textId="323FF702"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 xml:space="preserve">(7) ha pagado todos los aranceles de solicitud, examen y registro o certificación requeridos por la Ley de Práctica Odontológica y las reglas de la Junta; </w:t>
      </w:r>
    </w:p>
    <w:p w14:paraId="518F87E6" w14:textId="77777777" w:rsidR="00DE1793" w:rsidRPr="00DE1793" w:rsidRDefault="00DE1793" w:rsidP="00DE1793">
      <w:pPr>
        <w:spacing w:after="0" w:line="240" w:lineRule="auto"/>
        <w:rPr>
          <w:rFonts w:ascii="Times New Roman" w:hAnsi="Times New Roman" w:cs="Times New Roman"/>
          <w:sz w:val="24"/>
          <w:szCs w:val="24"/>
        </w:rPr>
      </w:pPr>
    </w:p>
    <w:p w14:paraId="0A5D610B"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(8) ha completado un curso en prevención de trata de personas aprobado por el comisionado ejecutivo de la Comisión de Salud y Servicios Humanos de Texas; y</w:t>
      </w:r>
    </w:p>
    <w:p w14:paraId="3B609858" w14:textId="77777777" w:rsidR="00DE1793" w:rsidRPr="00DE1793" w:rsidRDefault="00DE1793" w:rsidP="00DE1793">
      <w:pPr>
        <w:spacing w:after="0" w:line="240" w:lineRule="auto"/>
        <w:rPr>
          <w:rFonts w:ascii="Times New Roman" w:hAnsi="Times New Roman" w:cs="Times New Roman"/>
          <w:sz w:val="24"/>
          <w:szCs w:val="24"/>
        </w:rPr>
      </w:pPr>
    </w:p>
    <w:p w14:paraId="03C14E66" w14:textId="6EE82EE4"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 xml:space="preserve">(9) ha presentado un informe de consulta propia del </w:t>
      </w:r>
      <w:proofErr w:type="spellStart"/>
      <w:r>
        <w:rPr>
          <w:rFonts w:ascii="Times New Roman" w:hAnsi="Times New Roman"/>
          <w:sz w:val="24"/>
        </w:rPr>
        <w:t>National</w:t>
      </w:r>
      <w:proofErr w:type="spellEnd"/>
      <w:r>
        <w:rPr>
          <w:rFonts w:ascii="Times New Roman" w:hAnsi="Times New Roman"/>
          <w:sz w:val="24"/>
        </w:rPr>
        <w:t xml:space="preserve"> </w:t>
      </w:r>
      <w:proofErr w:type="spellStart"/>
      <w:r>
        <w:rPr>
          <w:rFonts w:ascii="Times New Roman" w:hAnsi="Times New Roman"/>
          <w:sz w:val="24"/>
        </w:rPr>
        <w:t>Practitioner</w:t>
      </w:r>
      <w:proofErr w:type="spellEnd"/>
      <w:r>
        <w:rPr>
          <w:rFonts w:ascii="Times New Roman" w:hAnsi="Times New Roman"/>
          <w:sz w:val="24"/>
        </w:rPr>
        <w:t xml:space="preserve"> Data Bank [Banco de Datos de Profesionales Nacionales] al momento de registro o certificación inicial. [</w:t>
      </w:r>
      <w:r>
        <w:rPr>
          <w:rFonts w:ascii="Times New Roman" w:hAnsi="Times New Roman"/>
          <w:strike/>
          <w:sz w:val="24"/>
        </w:rPr>
        <w:t>Los resultados del informe deben permanecer en el sobre sellado original.</w:t>
      </w:r>
      <w:r>
        <w:rPr>
          <w:rFonts w:ascii="Times New Roman" w:hAnsi="Times New Roman"/>
          <w:sz w:val="24"/>
        </w:rPr>
        <w:t>]</w:t>
      </w:r>
    </w:p>
    <w:p w14:paraId="29E95E25" w14:textId="77777777" w:rsidR="00DE1793" w:rsidRPr="00DE1793" w:rsidRDefault="00DE1793" w:rsidP="00DE1793">
      <w:pPr>
        <w:spacing w:after="0" w:line="240" w:lineRule="auto"/>
        <w:rPr>
          <w:rFonts w:ascii="Times New Roman" w:hAnsi="Times New Roman" w:cs="Times New Roman"/>
          <w:sz w:val="24"/>
          <w:szCs w:val="24"/>
        </w:rPr>
      </w:pPr>
    </w:p>
    <w:p w14:paraId="78CD8908"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(d) Las solicitudes de registro y certificación de asistente dental deben entregarse en la oficina de la Junta Estatal de Odontólogos.</w:t>
      </w:r>
    </w:p>
    <w:p w14:paraId="000EDEB6" w14:textId="77777777" w:rsidR="00DE1793" w:rsidRPr="00DE1793" w:rsidRDefault="00DE1793" w:rsidP="00DE1793">
      <w:pPr>
        <w:spacing w:after="0" w:line="240" w:lineRule="auto"/>
        <w:rPr>
          <w:rFonts w:ascii="Times New Roman" w:hAnsi="Times New Roman" w:cs="Times New Roman"/>
          <w:sz w:val="24"/>
          <w:szCs w:val="24"/>
        </w:rPr>
      </w:pPr>
    </w:p>
    <w:p w14:paraId="5582A7AF"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(e) Una solicitud de registro o certificación de asistente dental se considera presentada ante la Junta cuando esta la recibe, la fecha y la registra junto con toda la documentación y los aranceles requeridos. Una solicitud incompletos será devuelta al solicitante, con una explicación de la documentación o información adicional necesaria.</w:t>
      </w:r>
    </w:p>
    <w:p w14:paraId="1067CDEE" w14:textId="77777777" w:rsidR="00DE1793" w:rsidRPr="00DE1793" w:rsidRDefault="00DE1793" w:rsidP="00DE1793">
      <w:pPr>
        <w:spacing w:after="0" w:line="240" w:lineRule="auto"/>
        <w:rPr>
          <w:rFonts w:ascii="Times New Roman" w:hAnsi="Times New Roman" w:cs="Times New Roman"/>
          <w:sz w:val="24"/>
          <w:szCs w:val="24"/>
        </w:rPr>
      </w:pPr>
    </w:p>
    <w:p w14:paraId="7953CD0B"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(f) La Junta podrá negarse a emitir un registro o certificación, o podrá emitir un registro o certificado condicional, a cualquier persona que no cumpla con los requisitos de la subsección (c)(3) o (4) de esta sección, o que:</w:t>
      </w:r>
    </w:p>
    <w:p w14:paraId="1EEE17EF" w14:textId="77777777" w:rsidR="00DE1793" w:rsidRPr="00DE1793" w:rsidRDefault="00DE1793" w:rsidP="00DE1793">
      <w:pPr>
        <w:spacing w:after="0" w:line="240" w:lineRule="auto"/>
        <w:rPr>
          <w:rFonts w:ascii="Times New Roman" w:hAnsi="Times New Roman" w:cs="Times New Roman"/>
          <w:sz w:val="24"/>
          <w:szCs w:val="24"/>
        </w:rPr>
      </w:pPr>
    </w:p>
    <w:p w14:paraId="2F18E5E5"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lastRenderedPageBreak/>
        <w:t>(1) presente ante la Junta pruebas fraudulentas o falsas de su calificación para el registro o la certificación;</w:t>
      </w:r>
    </w:p>
    <w:p w14:paraId="69385343" w14:textId="77777777" w:rsidR="00DE1793" w:rsidRPr="00DE1793" w:rsidRDefault="00DE1793" w:rsidP="00DE1793">
      <w:pPr>
        <w:spacing w:after="0" w:line="240" w:lineRule="auto"/>
        <w:rPr>
          <w:rFonts w:ascii="Times New Roman" w:hAnsi="Times New Roman" w:cs="Times New Roman"/>
          <w:sz w:val="24"/>
          <w:szCs w:val="24"/>
        </w:rPr>
      </w:pPr>
    </w:p>
    <w:p w14:paraId="30DF1FB6"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(2) incurra en cualquier acto ilegal, fraude o engaño durante el proceso para obtener un registro o una certificación;</w:t>
      </w:r>
    </w:p>
    <w:p w14:paraId="7AD051F2" w14:textId="77777777" w:rsidR="00DE1793" w:rsidRPr="00DE1793" w:rsidRDefault="00DE1793" w:rsidP="00DE1793">
      <w:pPr>
        <w:spacing w:after="0" w:line="240" w:lineRule="auto"/>
        <w:rPr>
          <w:rFonts w:ascii="Times New Roman" w:hAnsi="Times New Roman" w:cs="Times New Roman"/>
          <w:sz w:val="24"/>
          <w:szCs w:val="24"/>
        </w:rPr>
      </w:pPr>
    </w:p>
    <w:p w14:paraId="24E4A009"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(3) esté habitualmente intoxicada o es adicta a las drogas;</w:t>
      </w:r>
    </w:p>
    <w:p w14:paraId="71DC3B21" w14:textId="77777777" w:rsidR="00DE1793" w:rsidRPr="00DE1793" w:rsidRDefault="00DE1793" w:rsidP="00DE1793">
      <w:pPr>
        <w:spacing w:after="0" w:line="240" w:lineRule="auto"/>
        <w:rPr>
          <w:rFonts w:ascii="Times New Roman" w:hAnsi="Times New Roman" w:cs="Times New Roman"/>
          <w:sz w:val="24"/>
          <w:szCs w:val="24"/>
        </w:rPr>
      </w:pPr>
    </w:p>
    <w:p w14:paraId="28D5543B"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(4) cometa una práctica deshonesta o ilegal en el ejercicio de la odontología o relacionada con este;</w:t>
      </w:r>
    </w:p>
    <w:p w14:paraId="1B0D1D00" w14:textId="77777777" w:rsidR="00DE1793" w:rsidRPr="00DE1793" w:rsidRDefault="00DE1793" w:rsidP="00DE1793">
      <w:pPr>
        <w:spacing w:after="0" w:line="240" w:lineRule="auto"/>
        <w:rPr>
          <w:rFonts w:ascii="Times New Roman" w:hAnsi="Times New Roman" w:cs="Times New Roman"/>
          <w:sz w:val="24"/>
          <w:szCs w:val="24"/>
        </w:rPr>
      </w:pPr>
    </w:p>
    <w:p w14:paraId="611E3A00"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(5) sea condenado por un delito grave conforme a la ley federal o estatal; o</w:t>
      </w:r>
    </w:p>
    <w:p w14:paraId="5FA40A42" w14:textId="77777777" w:rsidR="00DE1793" w:rsidRPr="00DE1793" w:rsidRDefault="00DE1793" w:rsidP="00DE1793">
      <w:pPr>
        <w:spacing w:after="0" w:line="240" w:lineRule="auto"/>
        <w:rPr>
          <w:rFonts w:ascii="Times New Roman" w:hAnsi="Times New Roman" w:cs="Times New Roman"/>
          <w:sz w:val="24"/>
          <w:szCs w:val="24"/>
        </w:rPr>
      </w:pPr>
    </w:p>
    <w:p w14:paraId="332A7446"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(6) haya infringido una ley de este estado en relación con el ejercicio de la odontología dentro de los 12 meses anteriores a la fecha en que presentó la solicitud de registro o certificación.</w:t>
      </w:r>
    </w:p>
    <w:p w14:paraId="7EBB634A" w14:textId="77777777" w:rsidR="00DE1793" w:rsidRPr="00DE1793" w:rsidRDefault="00DE1793" w:rsidP="00DE1793">
      <w:pPr>
        <w:spacing w:after="0" w:line="240" w:lineRule="auto"/>
        <w:rPr>
          <w:rFonts w:ascii="Times New Roman" w:hAnsi="Times New Roman" w:cs="Times New Roman"/>
          <w:sz w:val="24"/>
          <w:szCs w:val="24"/>
        </w:rPr>
      </w:pPr>
    </w:p>
    <w:p w14:paraId="75DD011F"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(g) Si la Junta decide emitir un registro o certificado condicional, es posible que se requiera que la persona formalice una orden de acuerdo de resolución con la Junta en el momento de la emisión de dicho registro o certificado.</w:t>
      </w:r>
    </w:p>
    <w:p w14:paraId="3A80EA30" w14:textId="77777777" w:rsidR="00DE1793" w:rsidRPr="00DE1793" w:rsidRDefault="00DE1793" w:rsidP="00DE1793">
      <w:pPr>
        <w:spacing w:after="0" w:line="240" w:lineRule="auto"/>
        <w:rPr>
          <w:rFonts w:ascii="Times New Roman" w:hAnsi="Times New Roman" w:cs="Times New Roman"/>
          <w:sz w:val="24"/>
          <w:szCs w:val="24"/>
        </w:rPr>
      </w:pPr>
    </w:p>
    <w:p w14:paraId="7EA50AE0"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(1) La orden puede incluir limitaciones, que incluyen, entre otras, restricciones en el ejercicio de la profesión, estipulaciones, el cumplimiento de condiciones ordenadas por un tribunal, la notificación al empleador o cualquier otro requisito que la Junta recomiende para garantizar la seguridad pública.</w:t>
      </w:r>
    </w:p>
    <w:p w14:paraId="1C9F329B" w14:textId="77777777" w:rsidR="00DE1793" w:rsidRPr="00DE1793" w:rsidRDefault="00DE1793" w:rsidP="00DE1793">
      <w:pPr>
        <w:spacing w:after="0" w:line="240" w:lineRule="auto"/>
        <w:rPr>
          <w:rFonts w:ascii="Times New Roman" w:hAnsi="Times New Roman" w:cs="Times New Roman"/>
          <w:sz w:val="24"/>
          <w:szCs w:val="24"/>
        </w:rPr>
      </w:pPr>
    </w:p>
    <w:p w14:paraId="22652845"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(2) En caso de que un solicitante tenga dudas sobre si cumple con los requisitos para obtener el registro o la certificación de asistente dental debido a antecedentes penales, podrá solicitar una Carta de Evaluación de Antecedentes Penales de conformidad con §114.9 de este capítulo, antes de presentar la solicitud.</w:t>
      </w:r>
    </w:p>
    <w:p w14:paraId="1DC6AF3E" w14:textId="77777777" w:rsidR="00DE1793" w:rsidRPr="00DE1793" w:rsidRDefault="00DE1793" w:rsidP="00DE1793">
      <w:pPr>
        <w:spacing w:after="0" w:line="240" w:lineRule="auto"/>
        <w:rPr>
          <w:rFonts w:ascii="Times New Roman" w:hAnsi="Times New Roman" w:cs="Times New Roman"/>
          <w:sz w:val="24"/>
          <w:szCs w:val="24"/>
        </w:rPr>
      </w:pPr>
    </w:p>
    <w:p w14:paraId="6A3D9EA2"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(3) Si la persona no cumple con los términos de su registro o certificado condicional, la Junta podrá adoptar medidas disciplinarias adicionales en su contra.</w:t>
      </w:r>
    </w:p>
    <w:p w14:paraId="58FBA722" w14:textId="77777777" w:rsidR="00DE1793" w:rsidRPr="00DE1793" w:rsidRDefault="00DE1793" w:rsidP="00DE1793">
      <w:pPr>
        <w:spacing w:after="0" w:line="240" w:lineRule="auto"/>
        <w:rPr>
          <w:rFonts w:ascii="Times New Roman" w:hAnsi="Times New Roman" w:cs="Times New Roman"/>
          <w:sz w:val="24"/>
          <w:szCs w:val="24"/>
        </w:rPr>
      </w:pPr>
    </w:p>
    <w:p w14:paraId="4947ADF9" w14:textId="77777777" w:rsidR="00DE1793" w:rsidRPr="00DE1793" w:rsidRDefault="00DE1793" w:rsidP="00DE1793">
      <w:pPr>
        <w:spacing w:after="0" w:line="240" w:lineRule="auto"/>
        <w:rPr>
          <w:rFonts w:ascii="Times New Roman" w:hAnsi="Times New Roman" w:cs="Times New Roman"/>
          <w:sz w:val="24"/>
          <w:szCs w:val="24"/>
        </w:rPr>
      </w:pPr>
      <w:r>
        <w:rPr>
          <w:rFonts w:ascii="Times New Roman" w:hAnsi="Times New Roman"/>
          <w:sz w:val="24"/>
        </w:rPr>
        <w:t>(h) El solicitante cuya solicitud sea denegada por la Junta podrá apelar la decisión ante la Oficina Estatal de Audiencias Administrativas.</w:t>
      </w:r>
    </w:p>
    <w:p w14:paraId="5DEA1581" w14:textId="77777777" w:rsidR="00DE1793" w:rsidRPr="00DE1793" w:rsidRDefault="00DE1793" w:rsidP="00DE1793">
      <w:pPr>
        <w:spacing w:after="0" w:line="240" w:lineRule="auto"/>
        <w:rPr>
          <w:rFonts w:ascii="Times New Roman" w:hAnsi="Times New Roman" w:cs="Times New Roman"/>
          <w:sz w:val="24"/>
          <w:szCs w:val="24"/>
        </w:rPr>
      </w:pPr>
    </w:p>
    <w:p w14:paraId="65845E11" w14:textId="7847CCDA" w:rsidR="00944663" w:rsidRPr="0024514A" w:rsidRDefault="00DE1793" w:rsidP="00DE1793">
      <w:pPr>
        <w:spacing w:after="0" w:line="240" w:lineRule="auto"/>
        <w:rPr>
          <w:rFonts w:ascii="Times New Roman" w:hAnsi="Times New Roman" w:cs="Times New Roman"/>
          <w:sz w:val="24"/>
          <w:szCs w:val="24"/>
        </w:rPr>
      </w:pPr>
      <w:r>
        <w:rPr>
          <w:rFonts w:ascii="Times New Roman" w:hAnsi="Times New Roman"/>
          <w:sz w:val="24"/>
        </w:rPr>
        <w:t>(i) La persona cuya solicitud de registro/certificación de asistente dental sea denegada no podrá presentar otra solicitud de registro/certificación hasta que transcurra un año desde la fecha de la denegación o desde la fecha de la orden de la Junta que deniega la solicitud de registro/certificación, lo que ocurra más tarde.</w:t>
      </w:r>
    </w:p>
    <w:sectPr w:rsidR="00944663" w:rsidRPr="002451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06CF8"/>
    <w:multiLevelType w:val="hybridMultilevel"/>
    <w:tmpl w:val="7A3E37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263CAD"/>
    <w:multiLevelType w:val="hybridMultilevel"/>
    <w:tmpl w:val="989C0606"/>
    <w:lvl w:ilvl="0" w:tplc="5E264F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6134F"/>
    <w:multiLevelType w:val="hybridMultilevel"/>
    <w:tmpl w:val="45623872"/>
    <w:lvl w:ilvl="0" w:tplc="044AD600">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4AC101D0"/>
    <w:multiLevelType w:val="hybridMultilevel"/>
    <w:tmpl w:val="C3BC856C"/>
    <w:lvl w:ilvl="0" w:tplc="7B18DECE">
      <w:start w:val="1"/>
      <w:numFmt w:val="lowerRoman"/>
      <w:lvlText w:val="%1."/>
      <w:lvlJc w:val="right"/>
      <w:pPr>
        <w:ind w:left="720" w:hanging="360"/>
      </w:pPr>
      <w:rPr>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253A13"/>
    <w:multiLevelType w:val="hybridMultilevel"/>
    <w:tmpl w:val="97808D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DC03FD"/>
    <w:multiLevelType w:val="hybridMultilevel"/>
    <w:tmpl w:val="6180CC54"/>
    <w:lvl w:ilvl="0" w:tplc="3B2C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161875">
    <w:abstractNumId w:val="2"/>
  </w:num>
  <w:num w:numId="2" w16cid:durableId="1161889672">
    <w:abstractNumId w:val="5"/>
  </w:num>
  <w:num w:numId="3" w16cid:durableId="1150288205">
    <w:abstractNumId w:val="1"/>
  </w:num>
  <w:num w:numId="4" w16cid:durableId="1454709613">
    <w:abstractNumId w:val="3"/>
  </w:num>
  <w:num w:numId="5" w16cid:durableId="2096124034">
    <w:abstractNumId w:val="4"/>
  </w:num>
  <w:num w:numId="6" w16cid:durableId="142746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BBD"/>
    <w:rsid w:val="0000070B"/>
    <w:rsid w:val="00006752"/>
    <w:rsid w:val="00011435"/>
    <w:rsid w:val="000242E8"/>
    <w:rsid w:val="000262A7"/>
    <w:rsid w:val="00026B91"/>
    <w:rsid w:val="000322BD"/>
    <w:rsid w:val="00033CF5"/>
    <w:rsid w:val="0004245C"/>
    <w:rsid w:val="00044D21"/>
    <w:rsid w:val="00054B7F"/>
    <w:rsid w:val="0005764D"/>
    <w:rsid w:val="00063A73"/>
    <w:rsid w:val="00071FD9"/>
    <w:rsid w:val="00076D07"/>
    <w:rsid w:val="000875D4"/>
    <w:rsid w:val="000878F1"/>
    <w:rsid w:val="000926BB"/>
    <w:rsid w:val="000A0599"/>
    <w:rsid w:val="000A1C7D"/>
    <w:rsid w:val="000A32EC"/>
    <w:rsid w:val="000A39F2"/>
    <w:rsid w:val="000B274D"/>
    <w:rsid w:val="000B5325"/>
    <w:rsid w:val="000C51AB"/>
    <w:rsid w:val="000C5F08"/>
    <w:rsid w:val="000E42B7"/>
    <w:rsid w:val="000E7DF5"/>
    <w:rsid w:val="000F3007"/>
    <w:rsid w:val="00104706"/>
    <w:rsid w:val="00121A24"/>
    <w:rsid w:val="00122B18"/>
    <w:rsid w:val="00140DA3"/>
    <w:rsid w:val="00147C5A"/>
    <w:rsid w:val="00150B99"/>
    <w:rsid w:val="00152CEF"/>
    <w:rsid w:val="001566E2"/>
    <w:rsid w:val="0016072B"/>
    <w:rsid w:val="0016410C"/>
    <w:rsid w:val="00170261"/>
    <w:rsid w:val="00171F70"/>
    <w:rsid w:val="001756AF"/>
    <w:rsid w:val="00186156"/>
    <w:rsid w:val="00190EB5"/>
    <w:rsid w:val="0019556E"/>
    <w:rsid w:val="00197AF8"/>
    <w:rsid w:val="001A0A1E"/>
    <w:rsid w:val="001A28C3"/>
    <w:rsid w:val="001B1402"/>
    <w:rsid w:val="001C0539"/>
    <w:rsid w:val="001C2097"/>
    <w:rsid w:val="001C40E8"/>
    <w:rsid w:val="001C74D1"/>
    <w:rsid w:val="001D13A6"/>
    <w:rsid w:val="001D3125"/>
    <w:rsid w:val="001F01F6"/>
    <w:rsid w:val="001F1F84"/>
    <w:rsid w:val="001F4C34"/>
    <w:rsid w:val="00200BD6"/>
    <w:rsid w:val="002010FB"/>
    <w:rsid w:val="00202077"/>
    <w:rsid w:val="00205283"/>
    <w:rsid w:val="00216CA1"/>
    <w:rsid w:val="002252B0"/>
    <w:rsid w:val="00230669"/>
    <w:rsid w:val="00231DE9"/>
    <w:rsid w:val="0024514A"/>
    <w:rsid w:val="002553FF"/>
    <w:rsid w:val="002604CF"/>
    <w:rsid w:val="002641FC"/>
    <w:rsid w:val="002648F2"/>
    <w:rsid w:val="00274417"/>
    <w:rsid w:val="00276E23"/>
    <w:rsid w:val="002803CF"/>
    <w:rsid w:val="0028586D"/>
    <w:rsid w:val="00291A81"/>
    <w:rsid w:val="00291CA0"/>
    <w:rsid w:val="00292D96"/>
    <w:rsid w:val="00296906"/>
    <w:rsid w:val="0029730F"/>
    <w:rsid w:val="002A5516"/>
    <w:rsid w:val="002A7368"/>
    <w:rsid w:val="002B2D03"/>
    <w:rsid w:val="002B56EF"/>
    <w:rsid w:val="002C0441"/>
    <w:rsid w:val="002C5DD1"/>
    <w:rsid w:val="002E0F91"/>
    <w:rsid w:val="002E1F0B"/>
    <w:rsid w:val="002E3B47"/>
    <w:rsid w:val="002E4E96"/>
    <w:rsid w:val="002E6473"/>
    <w:rsid w:val="002F2DC2"/>
    <w:rsid w:val="00306674"/>
    <w:rsid w:val="0030725D"/>
    <w:rsid w:val="00310B3D"/>
    <w:rsid w:val="00311937"/>
    <w:rsid w:val="003122D4"/>
    <w:rsid w:val="00313E39"/>
    <w:rsid w:val="003253F2"/>
    <w:rsid w:val="00327466"/>
    <w:rsid w:val="00330211"/>
    <w:rsid w:val="00335CAF"/>
    <w:rsid w:val="00336E81"/>
    <w:rsid w:val="00343EBA"/>
    <w:rsid w:val="00352A6B"/>
    <w:rsid w:val="003574B2"/>
    <w:rsid w:val="0036237B"/>
    <w:rsid w:val="0037047E"/>
    <w:rsid w:val="00380CE5"/>
    <w:rsid w:val="00385ECF"/>
    <w:rsid w:val="00386F51"/>
    <w:rsid w:val="003A1DC0"/>
    <w:rsid w:val="003A259D"/>
    <w:rsid w:val="003A6689"/>
    <w:rsid w:val="003A7EEA"/>
    <w:rsid w:val="003C4979"/>
    <w:rsid w:val="003C72AC"/>
    <w:rsid w:val="003C7A4C"/>
    <w:rsid w:val="003E109C"/>
    <w:rsid w:val="003E2C59"/>
    <w:rsid w:val="003E5C9D"/>
    <w:rsid w:val="003F0121"/>
    <w:rsid w:val="0040078C"/>
    <w:rsid w:val="00403D6C"/>
    <w:rsid w:val="0041062F"/>
    <w:rsid w:val="004111C7"/>
    <w:rsid w:val="0041347F"/>
    <w:rsid w:val="00416E66"/>
    <w:rsid w:val="004171B1"/>
    <w:rsid w:val="0042445D"/>
    <w:rsid w:val="004254CA"/>
    <w:rsid w:val="004261E0"/>
    <w:rsid w:val="00440570"/>
    <w:rsid w:val="004454E9"/>
    <w:rsid w:val="00451892"/>
    <w:rsid w:val="00453073"/>
    <w:rsid w:val="0046485D"/>
    <w:rsid w:val="004655DE"/>
    <w:rsid w:val="00465BBD"/>
    <w:rsid w:val="0047583E"/>
    <w:rsid w:val="00476A97"/>
    <w:rsid w:val="00487D47"/>
    <w:rsid w:val="00490983"/>
    <w:rsid w:val="004A0142"/>
    <w:rsid w:val="004C180D"/>
    <w:rsid w:val="004E331E"/>
    <w:rsid w:val="004E35FE"/>
    <w:rsid w:val="004E5C87"/>
    <w:rsid w:val="005061AF"/>
    <w:rsid w:val="00510843"/>
    <w:rsid w:val="00517838"/>
    <w:rsid w:val="005223AC"/>
    <w:rsid w:val="0052741D"/>
    <w:rsid w:val="005278E7"/>
    <w:rsid w:val="00527CEE"/>
    <w:rsid w:val="00531099"/>
    <w:rsid w:val="00531962"/>
    <w:rsid w:val="00531DD4"/>
    <w:rsid w:val="00532434"/>
    <w:rsid w:val="00536B7E"/>
    <w:rsid w:val="00537B86"/>
    <w:rsid w:val="00554427"/>
    <w:rsid w:val="005576F5"/>
    <w:rsid w:val="00561AD2"/>
    <w:rsid w:val="00567836"/>
    <w:rsid w:val="00571C31"/>
    <w:rsid w:val="00575A8A"/>
    <w:rsid w:val="00583FD3"/>
    <w:rsid w:val="00594F2B"/>
    <w:rsid w:val="005A10A7"/>
    <w:rsid w:val="005A3911"/>
    <w:rsid w:val="005B7AB8"/>
    <w:rsid w:val="005C35A4"/>
    <w:rsid w:val="005C3B18"/>
    <w:rsid w:val="005C5920"/>
    <w:rsid w:val="005E1C28"/>
    <w:rsid w:val="005E1FAB"/>
    <w:rsid w:val="005E5973"/>
    <w:rsid w:val="005F1CE3"/>
    <w:rsid w:val="00611158"/>
    <w:rsid w:val="006149EB"/>
    <w:rsid w:val="00622868"/>
    <w:rsid w:val="006321BD"/>
    <w:rsid w:val="00634379"/>
    <w:rsid w:val="00634CFD"/>
    <w:rsid w:val="0063536D"/>
    <w:rsid w:val="00636A90"/>
    <w:rsid w:val="006377D8"/>
    <w:rsid w:val="00637EA1"/>
    <w:rsid w:val="0064197C"/>
    <w:rsid w:val="00643D5F"/>
    <w:rsid w:val="00650456"/>
    <w:rsid w:val="006506EF"/>
    <w:rsid w:val="006635D1"/>
    <w:rsid w:val="00666027"/>
    <w:rsid w:val="006700BE"/>
    <w:rsid w:val="00675328"/>
    <w:rsid w:val="00687ADA"/>
    <w:rsid w:val="00697BE7"/>
    <w:rsid w:val="006B273B"/>
    <w:rsid w:val="006B5603"/>
    <w:rsid w:val="006C76DD"/>
    <w:rsid w:val="006D0841"/>
    <w:rsid w:val="006D2F1E"/>
    <w:rsid w:val="006D45C6"/>
    <w:rsid w:val="006D5105"/>
    <w:rsid w:val="006E21E7"/>
    <w:rsid w:val="006E54AD"/>
    <w:rsid w:val="006F1E2B"/>
    <w:rsid w:val="006F2A4C"/>
    <w:rsid w:val="00704AA5"/>
    <w:rsid w:val="00715C72"/>
    <w:rsid w:val="00725748"/>
    <w:rsid w:val="00725C59"/>
    <w:rsid w:val="00727BE3"/>
    <w:rsid w:val="00741B01"/>
    <w:rsid w:val="00750185"/>
    <w:rsid w:val="00750F9D"/>
    <w:rsid w:val="00752B19"/>
    <w:rsid w:val="00762C16"/>
    <w:rsid w:val="00765F24"/>
    <w:rsid w:val="00766DF5"/>
    <w:rsid w:val="00767379"/>
    <w:rsid w:val="00771267"/>
    <w:rsid w:val="00790E3A"/>
    <w:rsid w:val="007916EA"/>
    <w:rsid w:val="007A68FB"/>
    <w:rsid w:val="007B1764"/>
    <w:rsid w:val="007B417D"/>
    <w:rsid w:val="007B4E8C"/>
    <w:rsid w:val="007C1BE2"/>
    <w:rsid w:val="007C3248"/>
    <w:rsid w:val="007C5EE2"/>
    <w:rsid w:val="007C62E5"/>
    <w:rsid w:val="007D29E5"/>
    <w:rsid w:val="007D4D90"/>
    <w:rsid w:val="007D5B91"/>
    <w:rsid w:val="007D7714"/>
    <w:rsid w:val="007F0B4C"/>
    <w:rsid w:val="007F0D84"/>
    <w:rsid w:val="007F1207"/>
    <w:rsid w:val="007F34E2"/>
    <w:rsid w:val="00804D11"/>
    <w:rsid w:val="008126A1"/>
    <w:rsid w:val="0082435A"/>
    <w:rsid w:val="00831E35"/>
    <w:rsid w:val="00833BB0"/>
    <w:rsid w:val="00836A52"/>
    <w:rsid w:val="00837590"/>
    <w:rsid w:val="00840877"/>
    <w:rsid w:val="00840F41"/>
    <w:rsid w:val="00852781"/>
    <w:rsid w:val="0086519D"/>
    <w:rsid w:val="008774A3"/>
    <w:rsid w:val="00881B30"/>
    <w:rsid w:val="00883AE3"/>
    <w:rsid w:val="00893647"/>
    <w:rsid w:val="00893FB7"/>
    <w:rsid w:val="008A5A5E"/>
    <w:rsid w:val="008A743C"/>
    <w:rsid w:val="008B33C9"/>
    <w:rsid w:val="008B6299"/>
    <w:rsid w:val="008D01E7"/>
    <w:rsid w:val="008D6B97"/>
    <w:rsid w:val="008F1CCC"/>
    <w:rsid w:val="008F282B"/>
    <w:rsid w:val="009125E3"/>
    <w:rsid w:val="00912B71"/>
    <w:rsid w:val="0091317E"/>
    <w:rsid w:val="00914B68"/>
    <w:rsid w:val="009247D3"/>
    <w:rsid w:val="00944663"/>
    <w:rsid w:val="00945870"/>
    <w:rsid w:val="00951A62"/>
    <w:rsid w:val="009570B0"/>
    <w:rsid w:val="009622E9"/>
    <w:rsid w:val="00974818"/>
    <w:rsid w:val="00991BFD"/>
    <w:rsid w:val="00992FF6"/>
    <w:rsid w:val="009A05FE"/>
    <w:rsid w:val="009B07BD"/>
    <w:rsid w:val="009B0E4E"/>
    <w:rsid w:val="009B4063"/>
    <w:rsid w:val="009B60AA"/>
    <w:rsid w:val="009B60EA"/>
    <w:rsid w:val="009C66C4"/>
    <w:rsid w:val="009D0E77"/>
    <w:rsid w:val="009E0989"/>
    <w:rsid w:val="009E6B31"/>
    <w:rsid w:val="009F4198"/>
    <w:rsid w:val="00A0308B"/>
    <w:rsid w:val="00A07096"/>
    <w:rsid w:val="00A15C28"/>
    <w:rsid w:val="00A15CEF"/>
    <w:rsid w:val="00A21984"/>
    <w:rsid w:val="00A22A54"/>
    <w:rsid w:val="00A2386E"/>
    <w:rsid w:val="00A30FF3"/>
    <w:rsid w:val="00A3563E"/>
    <w:rsid w:val="00A37891"/>
    <w:rsid w:val="00A45E82"/>
    <w:rsid w:val="00A51667"/>
    <w:rsid w:val="00A5420A"/>
    <w:rsid w:val="00A56300"/>
    <w:rsid w:val="00A57ABD"/>
    <w:rsid w:val="00A6376E"/>
    <w:rsid w:val="00A722CF"/>
    <w:rsid w:val="00A72FFA"/>
    <w:rsid w:val="00A85AA1"/>
    <w:rsid w:val="00A926E3"/>
    <w:rsid w:val="00A972C7"/>
    <w:rsid w:val="00AA3F0D"/>
    <w:rsid w:val="00AB33C2"/>
    <w:rsid w:val="00AB6012"/>
    <w:rsid w:val="00AB67CD"/>
    <w:rsid w:val="00AC11A0"/>
    <w:rsid w:val="00AC4132"/>
    <w:rsid w:val="00AC5B45"/>
    <w:rsid w:val="00AD1825"/>
    <w:rsid w:val="00AD218F"/>
    <w:rsid w:val="00AE03D3"/>
    <w:rsid w:val="00AE2A72"/>
    <w:rsid w:val="00AE6C18"/>
    <w:rsid w:val="00AE7799"/>
    <w:rsid w:val="00AF0930"/>
    <w:rsid w:val="00AF538A"/>
    <w:rsid w:val="00B02EF7"/>
    <w:rsid w:val="00B1396B"/>
    <w:rsid w:val="00B22141"/>
    <w:rsid w:val="00B230E5"/>
    <w:rsid w:val="00B330BA"/>
    <w:rsid w:val="00B357C2"/>
    <w:rsid w:val="00B3790C"/>
    <w:rsid w:val="00B708FB"/>
    <w:rsid w:val="00B70F15"/>
    <w:rsid w:val="00B84053"/>
    <w:rsid w:val="00B95EF2"/>
    <w:rsid w:val="00BA5F83"/>
    <w:rsid w:val="00BB6A66"/>
    <w:rsid w:val="00BC0AF4"/>
    <w:rsid w:val="00BC3F78"/>
    <w:rsid w:val="00BD5C88"/>
    <w:rsid w:val="00BE4186"/>
    <w:rsid w:val="00BE544F"/>
    <w:rsid w:val="00BE59CB"/>
    <w:rsid w:val="00BE5C00"/>
    <w:rsid w:val="00C15901"/>
    <w:rsid w:val="00C20ABF"/>
    <w:rsid w:val="00C4226C"/>
    <w:rsid w:val="00C45C88"/>
    <w:rsid w:val="00C45EAC"/>
    <w:rsid w:val="00C502EE"/>
    <w:rsid w:val="00C5127F"/>
    <w:rsid w:val="00C54CCD"/>
    <w:rsid w:val="00C56410"/>
    <w:rsid w:val="00C574FA"/>
    <w:rsid w:val="00C6074A"/>
    <w:rsid w:val="00C6251C"/>
    <w:rsid w:val="00C676F3"/>
    <w:rsid w:val="00C87461"/>
    <w:rsid w:val="00C87FB7"/>
    <w:rsid w:val="00C91729"/>
    <w:rsid w:val="00C9313B"/>
    <w:rsid w:val="00C96851"/>
    <w:rsid w:val="00CA444B"/>
    <w:rsid w:val="00CA454D"/>
    <w:rsid w:val="00CB1069"/>
    <w:rsid w:val="00CB7E2D"/>
    <w:rsid w:val="00CC33AC"/>
    <w:rsid w:val="00CD3832"/>
    <w:rsid w:val="00CD384E"/>
    <w:rsid w:val="00CE11EE"/>
    <w:rsid w:val="00CF187D"/>
    <w:rsid w:val="00CF1F70"/>
    <w:rsid w:val="00CF48B1"/>
    <w:rsid w:val="00D07113"/>
    <w:rsid w:val="00D12C28"/>
    <w:rsid w:val="00D17F3C"/>
    <w:rsid w:val="00D212C5"/>
    <w:rsid w:val="00D41505"/>
    <w:rsid w:val="00D43960"/>
    <w:rsid w:val="00D867B7"/>
    <w:rsid w:val="00D9062B"/>
    <w:rsid w:val="00DA1A86"/>
    <w:rsid w:val="00DA633D"/>
    <w:rsid w:val="00DA7638"/>
    <w:rsid w:val="00DC0E8E"/>
    <w:rsid w:val="00DC54CE"/>
    <w:rsid w:val="00DD0FCE"/>
    <w:rsid w:val="00DD669C"/>
    <w:rsid w:val="00DE1793"/>
    <w:rsid w:val="00DF3841"/>
    <w:rsid w:val="00E03276"/>
    <w:rsid w:val="00E03A36"/>
    <w:rsid w:val="00E15F4D"/>
    <w:rsid w:val="00E23BB6"/>
    <w:rsid w:val="00E30C4D"/>
    <w:rsid w:val="00E4345C"/>
    <w:rsid w:val="00E53413"/>
    <w:rsid w:val="00E55372"/>
    <w:rsid w:val="00E55A69"/>
    <w:rsid w:val="00E62014"/>
    <w:rsid w:val="00E6334C"/>
    <w:rsid w:val="00E70743"/>
    <w:rsid w:val="00E77830"/>
    <w:rsid w:val="00E8090D"/>
    <w:rsid w:val="00E87E96"/>
    <w:rsid w:val="00E969E8"/>
    <w:rsid w:val="00EA263F"/>
    <w:rsid w:val="00EA35BF"/>
    <w:rsid w:val="00EB40DF"/>
    <w:rsid w:val="00EC244C"/>
    <w:rsid w:val="00ED052D"/>
    <w:rsid w:val="00EE67AD"/>
    <w:rsid w:val="00EE70A1"/>
    <w:rsid w:val="00EF0CE3"/>
    <w:rsid w:val="00EF24A7"/>
    <w:rsid w:val="00EF615E"/>
    <w:rsid w:val="00EF6B9F"/>
    <w:rsid w:val="00F06585"/>
    <w:rsid w:val="00F21006"/>
    <w:rsid w:val="00F218EB"/>
    <w:rsid w:val="00F222FD"/>
    <w:rsid w:val="00F25CAB"/>
    <w:rsid w:val="00F334D9"/>
    <w:rsid w:val="00F4162B"/>
    <w:rsid w:val="00F51B10"/>
    <w:rsid w:val="00F547A6"/>
    <w:rsid w:val="00F57022"/>
    <w:rsid w:val="00F62E83"/>
    <w:rsid w:val="00F923C0"/>
    <w:rsid w:val="00F9767F"/>
    <w:rsid w:val="00FA0037"/>
    <w:rsid w:val="00FB1345"/>
    <w:rsid w:val="00FB1461"/>
    <w:rsid w:val="00FB6673"/>
    <w:rsid w:val="00FD4EE0"/>
    <w:rsid w:val="00FE214F"/>
    <w:rsid w:val="00FE2969"/>
    <w:rsid w:val="00FE3080"/>
    <w:rsid w:val="00FE3749"/>
    <w:rsid w:val="00FF0336"/>
    <w:rsid w:val="00FF6CA6"/>
  </w:rsids>
  <m:mathPr>
    <m:mathFont m:val="Cambria Math"/>
    <m:brkBin m:val="before"/>
    <m:brkBinSub m:val="--"/>
    <m:smallFrac m:val="0"/>
    <m:dispDef/>
    <m:lMargin m:val="0"/>
    <m:rMargin m:val="0"/>
    <m:defJc m:val="centerGroup"/>
    <m:wrapIndent m:val="1440"/>
    <m:intLim m:val="subSup"/>
    <m:naryLim m:val="undOvr"/>
  </m:mathPr>
  <w:themeFontLang w:val="en-US" w:eastAsia="zh-CN"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6510"/>
  <w15:chartTrackingRefBased/>
  <w15:docId w15:val="{18577452-F84A-46F0-B833-8FAC0409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5BBD"/>
    <w:pPr>
      <w:ind w:left="720"/>
      <w:contextualSpacing/>
    </w:pPr>
  </w:style>
  <w:style w:type="paragraph" w:styleId="BodyText">
    <w:name w:val="Body Text"/>
    <w:basedOn w:val="Normal"/>
    <w:link w:val="BodyTextChar"/>
    <w:uiPriority w:val="99"/>
    <w:unhideWhenUsed/>
    <w:rsid w:val="00336E81"/>
    <w:pPr>
      <w:spacing w:after="120"/>
    </w:pPr>
  </w:style>
  <w:style w:type="character" w:customStyle="1" w:styleId="BodyTextChar">
    <w:name w:val="Body Text Char"/>
    <w:basedOn w:val="DefaultParagraphFont"/>
    <w:link w:val="BodyText"/>
    <w:uiPriority w:val="99"/>
    <w:rsid w:val="00336E81"/>
  </w:style>
  <w:style w:type="character" w:styleId="Hyperlink">
    <w:name w:val="Hyperlink"/>
    <w:basedOn w:val="DefaultParagraphFont"/>
    <w:uiPriority w:val="99"/>
    <w:unhideWhenUsed/>
    <w:rsid w:val="00336E81"/>
    <w:rPr>
      <w:color w:val="0563C1" w:themeColor="hyperlink"/>
      <w:u w:val="single"/>
    </w:rPr>
  </w:style>
  <w:style w:type="character" w:styleId="UnresolvedMention">
    <w:name w:val="Unresolved Mention"/>
    <w:basedOn w:val="DefaultParagraphFont"/>
    <w:uiPriority w:val="99"/>
    <w:semiHidden/>
    <w:unhideWhenUsed/>
    <w:rsid w:val="00336E81"/>
    <w:rPr>
      <w:color w:val="605E5C"/>
      <w:shd w:val="clear" w:color="auto" w:fill="E1DFDD"/>
    </w:rPr>
  </w:style>
  <w:style w:type="paragraph" w:styleId="BalloonText">
    <w:name w:val="Balloon Text"/>
    <w:basedOn w:val="Normal"/>
    <w:link w:val="BalloonTextChar"/>
    <w:uiPriority w:val="99"/>
    <w:semiHidden/>
    <w:unhideWhenUsed/>
    <w:rsid w:val="005C5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5920"/>
    <w:rPr>
      <w:rFonts w:ascii="Segoe UI" w:hAnsi="Segoe UI" w:cs="Segoe UI"/>
      <w:sz w:val="18"/>
      <w:szCs w:val="18"/>
    </w:rPr>
  </w:style>
  <w:style w:type="paragraph" w:styleId="CommentText">
    <w:name w:val="annotation text"/>
    <w:basedOn w:val="Normal"/>
    <w:link w:val="CommentTextChar"/>
    <w:uiPriority w:val="99"/>
    <w:unhideWhenUsed/>
    <w:rsid w:val="00E969E8"/>
    <w:pPr>
      <w:spacing w:line="240" w:lineRule="auto"/>
    </w:pPr>
    <w:rPr>
      <w:sz w:val="20"/>
      <w:szCs w:val="20"/>
    </w:rPr>
  </w:style>
  <w:style w:type="character" w:customStyle="1" w:styleId="CommentTextChar">
    <w:name w:val="Comment Text Char"/>
    <w:basedOn w:val="DefaultParagraphFont"/>
    <w:link w:val="CommentText"/>
    <w:uiPriority w:val="99"/>
    <w:rsid w:val="00E969E8"/>
    <w:rPr>
      <w:sz w:val="20"/>
      <w:szCs w:val="20"/>
    </w:rPr>
  </w:style>
  <w:style w:type="character" w:styleId="CommentReference">
    <w:name w:val="annotation reference"/>
    <w:basedOn w:val="DefaultParagraphFont"/>
    <w:uiPriority w:val="99"/>
    <w:semiHidden/>
    <w:unhideWhenUsed/>
    <w:rsid w:val="00E969E8"/>
    <w:rPr>
      <w:sz w:val="16"/>
      <w:szCs w:val="16"/>
    </w:rPr>
  </w:style>
  <w:style w:type="paragraph" w:styleId="CommentSubject">
    <w:name w:val="annotation subject"/>
    <w:basedOn w:val="CommentText"/>
    <w:next w:val="CommentText"/>
    <w:link w:val="CommentSubjectChar"/>
    <w:uiPriority w:val="99"/>
    <w:semiHidden/>
    <w:unhideWhenUsed/>
    <w:rsid w:val="00A926E3"/>
    <w:rPr>
      <w:b/>
      <w:bCs/>
    </w:rPr>
  </w:style>
  <w:style w:type="character" w:customStyle="1" w:styleId="CommentSubjectChar">
    <w:name w:val="Comment Subject Char"/>
    <w:basedOn w:val="CommentTextChar"/>
    <w:link w:val="CommentSubject"/>
    <w:uiPriority w:val="99"/>
    <w:semiHidden/>
    <w:rsid w:val="00A926E3"/>
    <w:rPr>
      <w:b/>
      <w:bCs/>
      <w:sz w:val="20"/>
      <w:szCs w:val="20"/>
    </w:rPr>
  </w:style>
  <w:style w:type="paragraph" w:customStyle="1" w:styleId="ydpda298ee3yiv8607751865msonormal">
    <w:name w:val="ydpda298ee3yiv8607751865msonormal"/>
    <w:basedOn w:val="Normal"/>
    <w:uiPriority w:val="99"/>
    <w:rsid w:val="00914B68"/>
    <w:pPr>
      <w:spacing w:before="100" w:beforeAutospacing="1" w:after="100" w:afterAutospacing="1" w:line="240" w:lineRule="auto"/>
    </w:pPr>
    <w:rPr>
      <w:rFonts w:ascii="Calibri" w:hAnsi="Calibri" w:cs="Calibri"/>
    </w:rPr>
  </w:style>
  <w:style w:type="paragraph" w:styleId="NormalWeb">
    <w:name w:val="Normal (Web)"/>
    <w:basedOn w:val="Normal"/>
    <w:uiPriority w:val="99"/>
    <w:semiHidden/>
    <w:unhideWhenUsed/>
    <w:rsid w:val="001F1F84"/>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3A1DC0"/>
    <w:pPr>
      <w:spacing w:after="0" w:line="240" w:lineRule="auto"/>
    </w:pPr>
  </w:style>
  <w:style w:type="paragraph" w:customStyle="1" w:styleId="Default">
    <w:name w:val="Default"/>
    <w:rsid w:val="00CB106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95314">
      <w:bodyDiv w:val="1"/>
      <w:marLeft w:val="0"/>
      <w:marRight w:val="0"/>
      <w:marTop w:val="0"/>
      <w:marBottom w:val="0"/>
      <w:divBdr>
        <w:top w:val="none" w:sz="0" w:space="0" w:color="auto"/>
        <w:left w:val="none" w:sz="0" w:space="0" w:color="auto"/>
        <w:bottom w:val="none" w:sz="0" w:space="0" w:color="auto"/>
        <w:right w:val="none" w:sz="0" w:space="0" w:color="auto"/>
      </w:divBdr>
    </w:div>
    <w:div w:id="107773490">
      <w:bodyDiv w:val="1"/>
      <w:marLeft w:val="0"/>
      <w:marRight w:val="0"/>
      <w:marTop w:val="0"/>
      <w:marBottom w:val="0"/>
      <w:divBdr>
        <w:top w:val="none" w:sz="0" w:space="0" w:color="auto"/>
        <w:left w:val="none" w:sz="0" w:space="0" w:color="auto"/>
        <w:bottom w:val="none" w:sz="0" w:space="0" w:color="auto"/>
        <w:right w:val="none" w:sz="0" w:space="0" w:color="auto"/>
      </w:divBdr>
    </w:div>
    <w:div w:id="159933537">
      <w:bodyDiv w:val="1"/>
      <w:marLeft w:val="0"/>
      <w:marRight w:val="0"/>
      <w:marTop w:val="0"/>
      <w:marBottom w:val="0"/>
      <w:divBdr>
        <w:top w:val="none" w:sz="0" w:space="0" w:color="auto"/>
        <w:left w:val="none" w:sz="0" w:space="0" w:color="auto"/>
        <w:bottom w:val="none" w:sz="0" w:space="0" w:color="auto"/>
        <w:right w:val="none" w:sz="0" w:space="0" w:color="auto"/>
      </w:divBdr>
    </w:div>
    <w:div w:id="161169628">
      <w:bodyDiv w:val="1"/>
      <w:marLeft w:val="0"/>
      <w:marRight w:val="0"/>
      <w:marTop w:val="0"/>
      <w:marBottom w:val="0"/>
      <w:divBdr>
        <w:top w:val="none" w:sz="0" w:space="0" w:color="auto"/>
        <w:left w:val="none" w:sz="0" w:space="0" w:color="auto"/>
        <w:bottom w:val="none" w:sz="0" w:space="0" w:color="auto"/>
        <w:right w:val="none" w:sz="0" w:space="0" w:color="auto"/>
      </w:divBdr>
    </w:div>
    <w:div w:id="215361314">
      <w:bodyDiv w:val="1"/>
      <w:marLeft w:val="0"/>
      <w:marRight w:val="0"/>
      <w:marTop w:val="0"/>
      <w:marBottom w:val="0"/>
      <w:divBdr>
        <w:top w:val="none" w:sz="0" w:space="0" w:color="auto"/>
        <w:left w:val="none" w:sz="0" w:space="0" w:color="auto"/>
        <w:bottom w:val="none" w:sz="0" w:space="0" w:color="auto"/>
        <w:right w:val="none" w:sz="0" w:space="0" w:color="auto"/>
      </w:divBdr>
    </w:div>
    <w:div w:id="222764472">
      <w:bodyDiv w:val="1"/>
      <w:marLeft w:val="0"/>
      <w:marRight w:val="0"/>
      <w:marTop w:val="0"/>
      <w:marBottom w:val="0"/>
      <w:divBdr>
        <w:top w:val="none" w:sz="0" w:space="0" w:color="auto"/>
        <w:left w:val="none" w:sz="0" w:space="0" w:color="auto"/>
        <w:bottom w:val="none" w:sz="0" w:space="0" w:color="auto"/>
        <w:right w:val="none" w:sz="0" w:space="0" w:color="auto"/>
      </w:divBdr>
    </w:div>
    <w:div w:id="265814536">
      <w:bodyDiv w:val="1"/>
      <w:marLeft w:val="0"/>
      <w:marRight w:val="0"/>
      <w:marTop w:val="0"/>
      <w:marBottom w:val="0"/>
      <w:divBdr>
        <w:top w:val="none" w:sz="0" w:space="0" w:color="auto"/>
        <w:left w:val="none" w:sz="0" w:space="0" w:color="auto"/>
        <w:bottom w:val="none" w:sz="0" w:space="0" w:color="auto"/>
        <w:right w:val="none" w:sz="0" w:space="0" w:color="auto"/>
      </w:divBdr>
    </w:div>
    <w:div w:id="304628590">
      <w:bodyDiv w:val="1"/>
      <w:marLeft w:val="0"/>
      <w:marRight w:val="0"/>
      <w:marTop w:val="0"/>
      <w:marBottom w:val="0"/>
      <w:divBdr>
        <w:top w:val="none" w:sz="0" w:space="0" w:color="auto"/>
        <w:left w:val="none" w:sz="0" w:space="0" w:color="auto"/>
        <w:bottom w:val="none" w:sz="0" w:space="0" w:color="auto"/>
        <w:right w:val="none" w:sz="0" w:space="0" w:color="auto"/>
      </w:divBdr>
    </w:div>
    <w:div w:id="328290784">
      <w:bodyDiv w:val="1"/>
      <w:marLeft w:val="0"/>
      <w:marRight w:val="0"/>
      <w:marTop w:val="0"/>
      <w:marBottom w:val="0"/>
      <w:divBdr>
        <w:top w:val="none" w:sz="0" w:space="0" w:color="auto"/>
        <w:left w:val="none" w:sz="0" w:space="0" w:color="auto"/>
        <w:bottom w:val="none" w:sz="0" w:space="0" w:color="auto"/>
        <w:right w:val="none" w:sz="0" w:space="0" w:color="auto"/>
      </w:divBdr>
    </w:div>
    <w:div w:id="341786460">
      <w:bodyDiv w:val="1"/>
      <w:marLeft w:val="0"/>
      <w:marRight w:val="0"/>
      <w:marTop w:val="0"/>
      <w:marBottom w:val="0"/>
      <w:divBdr>
        <w:top w:val="none" w:sz="0" w:space="0" w:color="auto"/>
        <w:left w:val="none" w:sz="0" w:space="0" w:color="auto"/>
        <w:bottom w:val="none" w:sz="0" w:space="0" w:color="auto"/>
        <w:right w:val="none" w:sz="0" w:space="0" w:color="auto"/>
      </w:divBdr>
    </w:div>
    <w:div w:id="397631876">
      <w:bodyDiv w:val="1"/>
      <w:marLeft w:val="0"/>
      <w:marRight w:val="0"/>
      <w:marTop w:val="0"/>
      <w:marBottom w:val="0"/>
      <w:divBdr>
        <w:top w:val="none" w:sz="0" w:space="0" w:color="auto"/>
        <w:left w:val="none" w:sz="0" w:space="0" w:color="auto"/>
        <w:bottom w:val="none" w:sz="0" w:space="0" w:color="auto"/>
        <w:right w:val="none" w:sz="0" w:space="0" w:color="auto"/>
      </w:divBdr>
    </w:div>
    <w:div w:id="413206597">
      <w:bodyDiv w:val="1"/>
      <w:marLeft w:val="0"/>
      <w:marRight w:val="0"/>
      <w:marTop w:val="0"/>
      <w:marBottom w:val="0"/>
      <w:divBdr>
        <w:top w:val="none" w:sz="0" w:space="0" w:color="auto"/>
        <w:left w:val="none" w:sz="0" w:space="0" w:color="auto"/>
        <w:bottom w:val="none" w:sz="0" w:space="0" w:color="auto"/>
        <w:right w:val="none" w:sz="0" w:space="0" w:color="auto"/>
      </w:divBdr>
    </w:div>
    <w:div w:id="436951838">
      <w:bodyDiv w:val="1"/>
      <w:marLeft w:val="0"/>
      <w:marRight w:val="0"/>
      <w:marTop w:val="0"/>
      <w:marBottom w:val="0"/>
      <w:divBdr>
        <w:top w:val="none" w:sz="0" w:space="0" w:color="auto"/>
        <w:left w:val="none" w:sz="0" w:space="0" w:color="auto"/>
        <w:bottom w:val="none" w:sz="0" w:space="0" w:color="auto"/>
        <w:right w:val="none" w:sz="0" w:space="0" w:color="auto"/>
      </w:divBdr>
    </w:div>
    <w:div w:id="454059136">
      <w:bodyDiv w:val="1"/>
      <w:marLeft w:val="0"/>
      <w:marRight w:val="0"/>
      <w:marTop w:val="0"/>
      <w:marBottom w:val="0"/>
      <w:divBdr>
        <w:top w:val="none" w:sz="0" w:space="0" w:color="auto"/>
        <w:left w:val="none" w:sz="0" w:space="0" w:color="auto"/>
        <w:bottom w:val="none" w:sz="0" w:space="0" w:color="auto"/>
        <w:right w:val="none" w:sz="0" w:space="0" w:color="auto"/>
      </w:divBdr>
      <w:divsChild>
        <w:div w:id="1199512558">
          <w:marLeft w:val="0"/>
          <w:marRight w:val="0"/>
          <w:marTop w:val="0"/>
          <w:marBottom w:val="0"/>
          <w:divBdr>
            <w:top w:val="none" w:sz="0" w:space="0" w:color="auto"/>
            <w:left w:val="none" w:sz="0" w:space="0" w:color="auto"/>
            <w:bottom w:val="none" w:sz="0" w:space="0" w:color="auto"/>
            <w:right w:val="none" w:sz="0" w:space="0" w:color="auto"/>
          </w:divBdr>
          <w:divsChild>
            <w:div w:id="18468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488452">
      <w:bodyDiv w:val="1"/>
      <w:marLeft w:val="0"/>
      <w:marRight w:val="0"/>
      <w:marTop w:val="0"/>
      <w:marBottom w:val="0"/>
      <w:divBdr>
        <w:top w:val="none" w:sz="0" w:space="0" w:color="auto"/>
        <w:left w:val="none" w:sz="0" w:space="0" w:color="auto"/>
        <w:bottom w:val="none" w:sz="0" w:space="0" w:color="auto"/>
        <w:right w:val="none" w:sz="0" w:space="0" w:color="auto"/>
      </w:divBdr>
    </w:div>
    <w:div w:id="544759822">
      <w:bodyDiv w:val="1"/>
      <w:marLeft w:val="0"/>
      <w:marRight w:val="0"/>
      <w:marTop w:val="0"/>
      <w:marBottom w:val="0"/>
      <w:divBdr>
        <w:top w:val="none" w:sz="0" w:space="0" w:color="auto"/>
        <w:left w:val="none" w:sz="0" w:space="0" w:color="auto"/>
        <w:bottom w:val="none" w:sz="0" w:space="0" w:color="auto"/>
        <w:right w:val="none" w:sz="0" w:space="0" w:color="auto"/>
      </w:divBdr>
    </w:div>
    <w:div w:id="548494654">
      <w:bodyDiv w:val="1"/>
      <w:marLeft w:val="0"/>
      <w:marRight w:val="0"/>
      <w:marTop w:val="0"/>
      <w:marBottom w:val="0"/>
      <w:divBdr>
        <w:top w:val="none" w:sz="0" w:space="0" w:color="auto"/>
        <w:left w:val="none" w:sz="0" w:space="0" w:color="auto"/>
        <w:bottom w:val="none" w:sz="0" w:space="0" w:color="auto"/>
        <w:right w:val="none" w:sz="0" w:space="0" w:color="auto"/>
      </w:divBdr>
    </w:div>
    <w:div w:id="571158340">
      <w:bodyDiv w:val="1"/>
      <w:marLeft w:val="0"/>
      <w:marRight w:val="0"/>
      <w:marTop w:val="0"/>
      <w:marBottom w:val="0"/>
      <w:divBdr>
        <w:top w:val="none" w:sz="0" w:space="0" w:color="auto"/>
        <w:left w:val="none" w:sz="0" w:space="0" w:color="auto"/>
        <w:bottom w:val="none" w:sz="0" w:space="0" w:color="auto"/>
        <w:right w:val="none" w:sz="0" w:space="0" w:color="auto"/>
      </w:divBdr>
    </w:div>
    <w:div w:id="614095196">
      <w:bodyDiv w:val="1"/>
      <w:marLeft w:val="0"/>
      <w:marRight w:val="0"/>
      <w:marTop w:val="0"/>
      <w:marBottom w:val="0"/>
      <w:divBdr>
        <w:top w:val="none" w:sz="0" w:space="0" w:color="auto"/>
        <w:left w:val="none" w:sz="0" w:space="0" w:color="auto"/>
        <w:bottom w:val="none" w:sz="0" w:space="0" w:color="auto"/>
        <w:right w:val="none" w:sz="0" w:space="0" w:color="auto"/>
      </w:divBdr>
    </w:div>
    <w:div w:id="662510293">
      <w:bodyDiv w:val="1"/>
      <w:marLeft w:val="0"/>
      <w:marRight w:val="0"/>
      <w:marTop w:val="0"/>
      <w:marBottom w:val="0"/>
      <w:divBdr>
        <w:top w:val="none" w:sz="0" w:space="0" w:color="auto"/>
        <w:left w:val="none" w:sz="0" w:space="0" w:color="auto"/>
        <w:bottom w:val="none" w:sz="0" w:space="0" w:color="auto"/>
        <w:right w:val="none" w:sz="0" w:space="0" w:color="auto"/>
      </w:divBdr>
    </w:div>
    <w:div w:id="727581480">
      <w:bodyDiv w:val="1"/>
      <w:marLeft w:val="0"/>
      <w:marRight w:val="0"/>
      <w:marTop w:val="0"/>
      <w:marBottom w:val="0"/>
      <w:divBdr>
        <w:top w:val="none" w:sz="0" w:space="0" w:color="auto"/>
        <w:left w:val="none" w:sz="0" w:space="0" w:color="auto"/>
        <w:bottom w:val="none" w:sz="0" w:space="0" w:color="auto"/>
        <w:right w:val="none" w:sz="0" w:space="0" w:color="auto"/>
      </w:divBdr>
    </w:div>
    <w:div w:id="829176277">
      <w:bodyDiv w:val="1"/>
      <w:marLeft w:val="0"/>
      <w:marRight w:val="0"/>
      <w:marTop w:val="0"/>
      <w:marBottom w:val="0"/>
      <w:divBdr>
        <w:top w:val="none" w:sz="0" w:space="0" w:color="auto"/>
        <w:left w:val="none" w:sz="0" w:space="0" w:color="auto"/>
        <w:bottom w:val="none" w:sz="0" w:space="0" w:color="auto"/>
        <w:right w:val="none" w:sz="0" w:space="0" w:color="auto"/>
      </w:divBdr>
    </w:div>
    <w:div w:id="852885818">
      <w:bodyDiv w:val="1"/>
      <w:marLeft w:val="0"/>
      <w:marRight w:val="0"/>
      <w:marTop w:val="0"/>
      <w:marBottom w:val="0"/>
      <w:divBdr>
        <w:top w:val="none" w:sz="0" w:space="0" w:color="auto"/>
        <w:left w:val="none" w:sz="0" w:space="0" w:color="auto"/>
        <w:bottom w:val="none" w:sz="0" w:space="0" w:color="auto"/>
        <w:right w:val="none" w:sz="0" w:space="0" w:color="auto"/>
      </w:divBdr>
    </w:div>
    <w:div w:id="941453682">
      <w:bodyDiv w:val="1"/>
      <w:marLeft w:val="0"/>
      <w:marRight w:val="0"/>
      <w:marTop w:val="0"/>
      <w:marBottom w:val="0"/>
      <w:divBdr>
        <w:top w:val="none" w:sz="0" w:space="0" w:color="auto"/>
        <w:left w:val="none" w:sz="0" w:space="0" w:color="auto"/>
        <w:bottom w:val="none" w:sz="0" w:space="0" w:color="auto"/>
        <w:right w:val="none" w:sz="0" w:space="0" w:color="auto"/>
      </w:divBdr>
    </w:div>
    <w:div w:id="968053940">
      <w:bodyDiv w:val="1"/>
      <w:marLeft w:val="0"/>
      <w:marRight w:val="0"/>
      <w:marTop w:val="0"/>
      <w:marBottom w:val="0"/>
      <w:divBdr>
        <w:top w:val="none" w:sz="0" w:space="0" w:color="auto"/>
        <w:left w:val="none" w:sz="0" w:space="0" w:color="auto"/>
        <w:bottom w:val="none" w:sz="0" w:space="0" w:color="auto"/>
        <w:right w:val="none" w:sz="0" w:space="0" w:color="auto"/>
      </w:divBdr>
    </w:div>
    <w:div w:id="969165254">
      <w:bodyDiv w:val="1"/>
      <w:marLeft w:val="0"/>
      <w:marRight w:val="0"/>
      <w:marTop w:val="0"/>
      <w:marBottom w:val="0"/>
      <w:divBdr>
        <w:top w:val="none" w:sz="0" w:space="0" w:color="auto"/>
        <w:left w:val="none" w:sz="0" w:space="0" w:color="auto"/>
        <w:bottom w:val="none" w:sz="0" w:space="0" w:color="auto"/>
        <w:right w:val="none" w:sz="0" w:space="0" w:color="auto"/>
      </w:divBdr>
    </w:div>
    <w:div w:id="972444356">
      <w:bodyDiv w:val="1"/>
      <w:marLeft w:val="0"/>
      <w:marRight w:val="0"/>
      <w:marTop w:val="0"/>
      <w:marBottom w:val="0"/>
      <w:divBdr>
        <w:top w:val="none" w:sz="0" w:space="0" w:color="auto"/>
        <w:left w:val="none" w:sz="0" w:space="0" w:color="auto"/>
        <w:bottom w:val="none" w:sz="0" w:space="0" w:color="auto"/>
        <w:right w:val="none" w:sz="0" w:space="0" w:color="auto"/>
      </w:divBdr>
    </w:div>
    <w:div w:id="1063064578">
      <w:bodyDiv w:val="1"/>
      <w:marLeft w:val="0"/>
      <w:marRight w:val="0"/>
      <w:marTop w:val="0"/>
      <w:marBottom w:val="0"/>
      <w:divBdr>
        <w:top w:val="none" w:sz="0" w:space="0" w:color="auto"/>
        <w:left w:val="none" w:sz="0" w:space="0" w:color="auto"/>
        <w:bottom w:val="none" w:sz="0" w:space="0" w:color="auto"/>
        <w:right w:val="none" w:sz="0" w:space="0" w:color="auto"/>
      </w:divBdr>
    </w:div>
    <w:div w:id="1115292750">
      <w:bodyDiv w:val="1"/>
      <w:marLeft w:val="0"/>
      <w:marRight w:val="0"/>
      <w:marTop w:val="0"/>
      <w:marBottom w:val="0"/>
      <w:divBdr>
        <w:top w:val="none" w:sz="0" w:space="0" w:color="auto"/>
        <w:left w:val="none" w:sz="0" w:space="0" w:color="auto"/>
        <w:bottom w:val="none" w:sz="0" w:space="0" w:color="auto"/>
        <w:right w:val="none" w:sz="0" w:space="0" w:color="auto"/>
      </w:divBdr>
    </w:div>
    <w:div w:id="1153327326">
      <w:bodyDiv w:val="1"/>
      <w:marLeft w:val="0"/>
      <w:marRight w:val="0"/>
      <w:marTop w:val="0"/>
      <w:marBottom w:val="0"/>
      <w:divBdr>
        <w:top w:val="none" w:sz="0" w:space="0" w:color="auto"/>
        <w:left w:val="none" w:sz="0" w:space="0" w:color="auto"/>
        <w:bottom w:val="none" w:sz="0" w:space="0" w:color="auto"/>
        <w:right w:val="none" w:sz="0" w:space="0" w:color="auto"/>
      </w:divBdr>
    </w:div>
    <w:div w:id="1157109237">
      <w:bodyDiv w:val="1"/>
      <w:marLeft w:val="0"/>
      <w:marRight w:val="0"/>
      <w:marTop w:val="0"/>
      <w:marBottom w:val="0"/>
      <w:divBdr>
        <w:top w:val="none" w:sz="0" w:space="0" w:color="auto"/>
        <w:left w:val="none" w:sz="0" w:space="0" w:color="auto"/>
        <w:bottom w:val="none" w:sz="0" w:space="0" w:color="auto"/>
        <w:right w:val="none" w:sz="0" w:space="0" w:color="auto"/>
      </w:divBdr>
    </w:div>
    <w:div w:id="1175337090">
      <w:bodyDiv w:val="1"/>
      <w:marLeft w:val="0"/>
      <w:marRight w:val="0"/>
      <w:marTop w:val="0"/>
      <w:marBottom w:val="0"/>
      <w:divBdr>
        <w:top w:val="none" w:sz="0" w:space="0" w:color="auto"/>
        <w:left w:val="none" w:sz="0" w:space="0" w:color="auto"/>
        <w:bottom w:val="none" w:sz="0" w:space="0" w:color="auto"/>
        <w:right w:val="none" w:sz="0" w:space="0" w:color="auto"/>
      </w:divBdr>
    </w:div>
    <w:div w:id="1215964283">
      <w:bodyDiv w:val="1"/>
      <w:marLeft w:val="0"/>
      <w:marRight w:val="0"/>
      <w:marTop w:val="0"/>
      <w:marBottom w:val="0"/>
      <w:divBdr>
        <w:top w:val="none" w:sz="0" w:space="0" w:color="auto"/>
        <w:left w:val="none" w:sz="0" w:space="0" w:color="auto"/>
        <w:bottom w:val="none" w:sz="0" w:space="0" w:color="auto"/>
        <w:right w:val="none" w:sz="0" w:space="0" w:color="auto"/>
      </w:divBdr>
    </w:div>
    <w:div w:id="1226918607">
      <w:bodyDiv w:val="1"/>
      <w:marLeft w:val="0"/>
      <w:marRight w:val="0"/>
      <w:marTop w:val="0"/>
      <w:marBottom w:val="0"/>
      <w:divBdr>
        <w:top w:val="none" w:sz="0" w:space="0" w:color="auto"/>
        <w:left w:val="none" w:sz="0" w:space="0" w:color="auto"/>
        <w:bottom w:val="none" w:sz="0" w:space="0" w:color="auto"/>
        <w:right w:val="none" w:sz="0" w:space="0" w:color="auto"/>
      </w:divBdr>
    </w:div>
    <w:div w:id="1359307521">
      <w:bodyDiv w:val="1"/>
      <w:marLeft w:val="0"/>
      <w:marRight w:val="0"/>
      <w:marTop w:val="0"/>
      <w:marBottom w:val="0"/>
      <w:divBdr>
        <w:top w:val="none" w:sz="0" w:space="0" w:color="auto"/>
        <w:left w:val="none" w:sz="0" w:space="0" w:color="auto"/>
        <w:bottom w:val="none" w:sz="0" w:space="0" w:color="auto"/>
        <w:right w:val="none" w:sz="0" w:space="0" w:color="auto"/>
      </w:divBdr>
    </w:div>
    <w:div w:id="1384058853">
      <w:bodyDiv w:val="1"/>
      <w:marLeft w:val="0"/>
      <w:marRight w:val="0"/>
      <w:marTop w:val="0"/>
      <w:marBottom w:val="0"/>
      <w:divBdr>
        <w:top w:val="none" w:sz="0" w:space="0" w:color="auto"/>
        <w:left w:val="none" w:sz="0" w:space="0" w:color="auto"/>
        <w:bottom w:val="none" w:sz="0" w:space="0" w:color="auto"/>
        <w:right w:val="none" w:sz="0" w:space="0" w:color="auto"/>
      </w:divBdr>
    </w:div>
    <w:div w:id="1450930811">
      <w:bodyDiv w:val="1"/>
      <w:marLeft w:val="0"/>
      <w:marRight w:val="0"/>
      <w:marTop w:val="0"/>
      <w:marBottom w:val="0"/>
      <w:divBdr>
        <w:top w:val="none" w:sz="0" w:space="0" w:color="auto"/>
        <w:left w:val="none" w:sz="0" w:space="0" w:color="auto"/>
        <w:bottom w:val="none" w:sz="0" w:space="0" w:color="auto"/>
        <w:right w:val="none" w:sz="0" w:space="0" w:color="auto"/>
      </w:divBdr>
      <w:divsChild>
        <w:div w:id="555707695">
          <w:marLeft w:val="0"/>
          <w:marRight w:val="0"/>
          <w:marTop w:val="0"/>
          <w:marBottom w:val="0"/>
          <w:divBdr>
            <w:top w:val="none" w:sz="0" w:space="0" w:color="auto"/>
            <w:left w:val="none" w:sz="0" w:space="0" w:color="auto"/>
            <w:bottom w:val="none" w:sz="0" w:space="0" w:color="auto"/>
            <w:right w:val="none" w:sz="0" w:space="0" w:color="auto"/>
          </w:divBdr>
          <w:divsChild>
            <w:div w:id="58669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287533">
      <w:bodyDiv w:val="1"/>
      <w:marLeft w:val="0"/>
      <w:marRight w:val="0"/>
      <w:marTop w:val="0"/>
      <w:marBottom w:val="0"/>
      <w:divBdr>
        <w:top w:val="none" w:sz="0" w:space="0" w:color="auto"/>
        <w:left w:val="none" w:sz="0" w:space="0" w:color="auto"/>
        <w:bottom w:val="none" w:sz="0" w:space="0" w:color="auto"/>
        <w:right w:val="none" w:sz="0" w:space="0" w:color="auto"/>
      </w:divBdr>
      <w:divsChild>
        <w:div w:id="1260747950">
          <w:marLeft w:val="0"/>
          <w:marRight w:val="0"/>
          <w:marTop w:val="0"/>
          <w:marBottom w:val="0"/>
          <w:divBdr>
            <w:top w:val="none" w:sz="0" w:space="0" w:color="auto"/>
            <w:left w:val="none" w:sz="0" w:space="0" w:color="auto"/>
            <w:bottom w:val="none" w:sz="0" w:space="0" w:color="auto"/>
            <w:right w:val="none" w:sz="0" w:space="0" w:color="auto"/>
          </w:divBdr>
          <w:divsChild>
            <w:div w:id="5891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34448">
      <w:bodyDiv w:val="1"/>
      <w:marLeft w:val="0"/>
      <w:marRight w:val="0"/>
      <w:marTop w:val="0"/>
      <w:marBottom w:val="0"/>
      <w:divBdr>
        <w:top w:val="none" w:sz="0" w:space="0" w:color="auto"/>
        <w:left w:val="none" w:sz="0" w:space="0" w:color="auto"/>
        <w:bottom w:val="none" w:sz="0" w:space="0" w:color="auto"/>
        <w:right w:val="none" w:sz="0" w:space="0" w:color="auto"/>
      </w:divBdr>
    </w:div>
    <w:div w:id="1558859836">
      <w:bodyDiv w:val="1"/>
      <w:marLeft w:val="0"/>
      <w:marRight w:val="0"/>
      <w:marTop w:val="0"/>
      <w:marBottom w:val="0"/>
      <w:divBdr>
        <w:top w:val="none" w:sz="0" w:space="0" w:color="auto"/>
        <w:left w:val="none" w:sz="0" w:space="0" w:color="auto"/>
        <w:bottom w:val="none" w:sz="0" w:space="0" w:color="auto"/>
        <w:right w:val="none" w:sz="0" w:space="0" w:color="auto"/>
      </w:divBdr>
    </w:div>
    <w:div w:id="1661808951">
      <w:bodyDiv w:val="1"/>
      <w:marLeft w:val="0"/>
      <w:marRight w:val="0"/>
      <w:marTop w:val="0"/>
      <w:marBottom w:val="0"/>
      <w:divBdr>
        <w:top w:val="none" w:sz="0" w:space="0" w:color="auto"/>
        <w:left w:val="none" w:sz="0" w:space="0" w:color="auto"/>
        <w:bottom w:val="none" w:sz="0" w:space="0" w:color="auto"/>
        <w:right w:val="none" w:sz="0" w:space="0" w:color="auto"/>
      </w:divBdr>
    </w:div>
    <w:div w:id="1725062248">
      <w:bodyDiv w:val="1"/>
      <w:marLeft w:val="0"/>
      <w:marRight w:val="0"/>
      <w:marTop w:val="0"/>
      <w:marBottom w:val="0"/>
      <w:divBdr>
        <w:top w:val="none" w:sz="0" w:space="0" w:color="auto"/>
        <w:left w:val="none" w:sz="0" w:space="0" w:color="auto"/>
        <w:bottom w:val="none" w:sz="0" w:space="0" w:color="auto"/>
        <w:right w:val="none" w:sz="0" w:space="0" w:color="auto"/>
      </w:divBdr>
    </w:div>
    <w:div w:id="1763181927">
      <w:bodyDiv w:val="1"/>
      <w:marLeft w:val="0"/>
      <w:marRight w:val="0"/>
      <w:marTop w:val="0"/>
      <w:marBottom w:val="0"/>
      <w:divBdr>
        <w:top w:val="none" w:sz="0" w:space="0" w:color="auto"/>
        <w:left w:val="none" w:sz="0" w:space="0" w:color="auto"/>
        <w:bottom w:val="none" w:sz="0" w:space="0" w:color="auto"/>
        <w:right w:val="none" w:sz="0" w:space="0" w:color="auto"/>
      </w:divBdr>
    </w:div>
    <w:div w:id="1775435837">
      <w:bodyDiv w:val="1"/>
      <w:marLeft w:val="0"/>
      <w:marRight w:val="0"/>
      <w:marTop w:val="0"/>
      <w:marBottom w:val="0"/>
      <w:divBdr>
        <w:top w:val="none" w:sz="0" w:space="0" w:color="auto"/>
        <w:left w:val="none" w:sz="0" w:space="0" w:color="auto"/>
        <w:bottom w:val="none" w:sz="0" w:space="0" w:color="auto"/>
        <w:right w:val="none" w:sz="0" w:space="0" w:color="auto"/>
      </w:divBdr>
    </w:div>
    <w:div w:id="1791319760">
      <w:bodyDiv w:val="1"/>
      <w:marLeft w:val="0"/>
      <w:marRight w:val="0"/>
      <w:marTop w:val="0"/>
      <w:marBottom w:val="0"/>
      <w:divBdr>
        <w:top w:val="none" w:sz="0" w:space="0" w:color="auto"/>
        <w:left w:val="none" w:sz="0" w:space="0" w:color="auto"/>
        <w:bottom w:val="none" w:sz="0" w:space="0" w:color="auto"/>
        <w:right w:val="none" w:sz="0" w:space="0" w:color="auto"/>
      </w:divBdr>
    </w:div>
    <w:div w:id="1798987608">
      <w:bodyDiv w:val="1"/>
      <w:marLeft w:val="0"/>
      <w:marRight w:val="0"/>
      <w:marTop w:val="0"/>
      <w:marBottom w:val="0"/>
      <w:divBdr>
        <w:top w:val="none" w:sz="0" w:space="0" w:color="auto"/>
        <w:left w:val="none" w:sz="0" w:space="0" w:color="auto"/>
        <w:bottom w:val="none" w:sz="0" w:space="0" w:color="auto"/>
        <w:right w:val="none" w:sz="0" w:space="0" w:color="auto"/>
      </w:divBdr>
    </w:div>
    <w:div w:id="1820996244">
      <w:bodyDiv w:val="1"/>
      <w:marLeft w:val="0"/>
      <w:marRight w:val="0"/>
      <w:marTop w:val="0"/>
      <w:marBottom w:val="0"/>
      <w:divBdr>
        <w:top w:val="none" w:sz="0" w:space="0" w:color="auto"/>
        <w:left w:val="none" w:sz="0" w:space="0" w:color="auto"/>
        <w:bottom w:val="none" w:sz="0" w:space="0" w:color="auto"/>
        <w:right w:val="none" w:sz="0" w:space="0" w:color="auto"/>
      </w:divBdr>
    </w:div>
    <w:div w:id="1915698856">
      <w:bodyDiv w:val="1"/>
      <w:marLeft w:val="0"/>
      <w:marRight w:val="0"/>
      <w:marTop w:val="0"/>
      <w:marBottom w:val="0"/>
      <w:divBdr>
        <w:top w:val="none" w:sz="0" w:space="0" w:color="auto"/>
        <w:left w:val="none" w:sz="0" w:space="0" w:color="auto"/>
        <w:bottom w:val="none" w:sz="0" w:space="0" w:color="auto"/>
        <w:right w:val="none" w:sz="0" w:space="0" w:color="auto"/>
      </w:divBdr>
    </w:div>
    <w:div w:id="1966349121">
      <w:bodyDiv w:val="1"/>
      <w:marLeft w:val="0"/>
      <w:marRight w:val="0"/>
      <w:marTop w:val="0"/>
      <w:marBottom w:val="0"/>
      <w:divBdr>
        <w:top w:val="none" w:sz="0" w:space="0" w:color="auto"/>
        <w:left w:val="none" w:sz="0" w:space="0" w:color="auto"/>
        <w:bottom w:val="none" w:sz="0" w:space="0" w:color="auto"/>
        <w:right w:val="none" w:sz="0" w:space="0" w:color="auto"/>
      </w:divBdr>
    </w:div>
    <w:div w:id="1967076143">
      <w:bodyDiv w:val="1"/>
      <w:marLeft w:val="0"/>
      <w:marRight w:val="0"/>
      <w:marTop w:val="0"/>
      <w:marBottom w:val="0"/>
      <w:divBdr>
        <w:top w:val="none" w:sz="0" w:space="0" w:color="auto"/>
        <w:left w:val="none" w:sz="0" w:space="0" w:color="auto"/>
        <w:bottom w:val="none" w:sz="0" w:space="0" w:color="auto"/>
        <w:right w:val="none" w:sz="0" w:space="0" w:color="auto"/>
      </w:divBdr>
    </w:div>
    <w:div w:id="1984384392">
      <w:bodyDiv w:val="1"/>
      <w:marLeft w:val="0"/>
      <w:marRight w:val="0"/>
      <w:marTop w:val="0"/>
      <w:marBottom w:val="0"/>
      <w:divBdr>
        <w:top w:val="none" w:sz="0" w:space="0" w:color="auto"/>
        <w:left w:val="none" w:sz="0" w:space="0" w:color="auto"/>
        <w:bottom w:val="none" w:sz="0" w:space="0" w:color="auto"/>
        <w:right w:val="none" w:sz="0" w:space="0" w:color="auto"/>
      </w:divBdr>
    </w:div>
    <w:div w:id="2021617261">
      <w:bodyDiv w:val="1"/>
      <w:marLeft w:val="0"/>
      <w:marRight w:val="0"/>
      <w:marTop w:val="0"/>
      <w:marBottom w:val="0"/>
      <w:divBdr>
        <w:top w:val="none" w:sz="0" w:space="0" w:color="auto"/>
        <w:left w:val="none" w:sz="0" w:space="0" w:color="auto"/>
        <w:bottom w:val="none" w:sz="0" w:space="0" w:color="auto"/>
        <w:right w:val="none" w:sz="0" w:space="0" w:color="auto"/>
      </w:divBdr>
    </w:div>
    <w:div w:id="2098135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07DCEE-28F7-4B9C-AA68-95FBB8F4C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4</Pages>
  <Words>1562</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Studdard</dc:creator>
  <cp:keywords/>
  <dc:description/>
  <cp:lastModifiedBy>Aitana Rufete Sala</cp:lastModifiedBy>
  <cp:revision>6</cp:revision>
  <dcterms:created xsi:type="dcterms:W3CDTF">2026-09-14T12:15:00Z</dcterms:created>
  <dcterms:modified xsi:type="dcterms:W3CDTF">2026-09-16T23:46:00Z</dcterms:modified>
</cp:coreProperties>
</file>