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D90B7" w14:textId="68DB9E39" w:rsidR="002E0F91" w:rsidRDefault="002604CF" w:rsidP="009622E9">
      <w:pPr>
        <w:rPr>
          <w:rFonts w:ascii="Times New Roman" w:hAnsi="Times New Roman" w:cs="Times New Roman"/>
          <w:sz w:val="24"/>
          <w:szCs w:val="24"/>
        </w:rPr>
      </w:pPr>
      <w:r>
        <w:rPr>
          <w:rFonts w:ascii="Times New Roman" w:hAnsi="Times New Roman"/>
          <w:sz w:val="24"/>
        </w:rPr>
        <w:t xml:space="preserve">La Junta Estatal de Odontólogos (Junta) propone enmiendas a la regla 22 TAC §117.2, en relación con la licencia para miembros del personal académico de odontología. Las enmiendas eliminan el lenguaje repetitivo que se encuentra actualmente en el Capítulo 267, Código de Ocupaciones de Texas, y hacen cambios gramaticales. </w:t>
      </w:r>
    </w:p>
    <w:p w14:paraId="7AC0AD1A" w14:textId="7AAD7139" w:rsidR="002604CF" w:rsidRPr="00757754" w:rsidRDefault="002604CF" w:rsidP="009622E9">
      <w:pPr>
        <w:rPr>
          <w:rFonts w:ascii="Times New Roman" w:hAnsi="Times New Roman" w:cs="Times New Roman"/>
          <w:sz w:val="24"/>
          <w:szCs w:val="24"/>
        </w:rPr>
      </w:pPr>
      <w:r>
        <w:rPr>
          <w:rFonts w:ascii="Times New Roman" w:hAnsi="Times New Roman"/>
          <w:sz w:val="24"/>
        </w:rPr>
        <w:t xml:space="preserve">NOTA FISCAL: Casey Nichols, </w:t>
      </w:r>
      <w:proofErr w:type="gramStart"/>
      <w:r>
        <w:rPr>
          <w:rFonts w:ascii="Times New Roman" w:hAnsi="Times New Roman"/>
          <w:sz w:val="24"/>
        </w:rPr>
        <w:t>Directora Ejecutiva</w:t>
      </w:r>
      <w:proofErr w:type="gramEnd"/>
      <w:r>
        <w:rPr>
          <w:rFonts w:ascii="Times New Roman" w:hAnsi="Times New Roman"/>
          <w:sz w:val="24"/>
        </w:rPr>
        <w:t xml:space="preserve">, ha determinado que en el primer período de cinco años en que esté vigente la regla propuesta, la regla propuesta no tenga implicancias previsibles relativas a costos o rentas de los gobiernos estatal o local. </w:t>
      </w:r>
    </w:p>
    <w:p w14:paraId="4CBDAB64" w14:textId="7CD0A09E" w:rsidR="002604CF" w:rsidRPr="00757754" w:rsidRDefault="002604CF" w:rsidP="002604CF">
      <w:pPr>
        <w:spacing w:after="0" w:line="240" w:lineRule="auto"/>
        <w:rPr>
          <w:rFonts w:ascii="Times New Roman" w:hAnsi="Times New Roman" w:cs="Times New Roman"/>
          <w:sz w:val="24"/>
          <w:szCs w:val="24"/>
        </w:rPr>
      </w:pPr>
      <w:r>
        <w:rPr>
          <w:rFonts w:ascii="Times New Roman" w:hAnsi="Times New Roman"/>
          <w:sz w:val="24"/>
        </w:rPr>
        <w:t xml:space="preserve">NOTA PÚBLICA DE COSTOS Y BENEFICIOS: Casey Nichols también ha determinado que, para el primer período de cinco años que esté vigente la regla propuesta, el beneficio público anticipado como resultado de esta regla será la eliminación del lenguaje repetitivo que se encuentra en la ley. </w:t>
      </w:r>
    </w:p>
    <w:p w14:paraId="2364F95D" w14:textId="77777777" w:rsidR="002604CF" w:rsidRPr="00757754" w:rsidRDefault="002604CF" w:rsidP="002604CF">
      <w:pPr>
        <w:spacing w:after="0" w:line="240" w:lineRule="auto"/>
        <w:rPr>
          <w:rFonts w:ascii="Times New Roman" w:hAnsi="Times New Roman" w:cs="Times New Roman"/>
          <w:sz w:val="24"/>
          <w:szCs w:val="24"/>
        </w:rPr>
      </w:pPr>
    </w:p>
    <w:p w14:paraId="73BF3D0C" w14:textId="77777777" w:rsidR="002604CF" w:rsidRPr="00757754" w:rsidRDefault="002604CF" w:rsidP="002604CF">
      <w:pPr>
        <w:spacing w:after="0" w:line="240" w:lineRule="auto"/>
        <w:rPr>
          <w:rFonts w:ascii="Times New Roman" w:hAnsi="Times New Roman" w:cs="Times New Roman"/>
          <w:sz w:val="24"/>
          <w:szCs w:val="24"/>
        </w:rPr>
      </w:pPr>
      <w:r>
        <w:rPr>
          <w:rFonts w:ascii="Times New Roman" w:hAnsi="Times New Roman"/>
          <w:sz w:val="24"/>
        </w:rPr>
        <w:t xml:space="preserve">DECLARACIÓN DE IMPACTO SOBRE EL EMPLEO LOCAL: Casey Nichols también ha determinado que la regla propuesta no afecta las economías y el empleo locales. </w:t>
      </w:r>
    </w:p>
    <w:p w14:paraId="0A95F484" w14:textId="77777777" w:rsidR="002604CF" w:rsidRPr="00757754" w:rsidRDefault="002604CF" w:rsidP="002604CF">
      <w:pPr>
        <w:spacing w:after="0" w:line="240" w:lineRule="auto"/>
        <w:rPr>
          <w:rFonts w:ascii="Times New Roman" w:hAnsi="Times New Roman" w:cs="Times New Roman"/>
          <w:sz w:val="24"/>
          <w:szCs w:val="24"/>
        </w:rPr>
      </w:pPr>
    </w:p>
    <w:p w14:paraId="35D228DF" w14:textId="77777777" w:rsidR="002604CF" w:rsidRPr="00757754" w:rsidRDefault="002604CF" w:rsidP="002604CF">
      <w:pPr>
        <w:spacing w:after="0" w:line="240" w:lineRule="auto"/>
        <w:rPr>
          <w:rFonts w:ascii="Times New Roman" w:hAnsi="Times New Roman" w:cs="Times New Roman"/>
          <w:sz w:val="24"/>
          <w:szCs w:val="24"/>
        </w:rPr>
      </w:pPr>
      <w:r>
        <w:rPr>
          <w:rFonts w:ascii="Times New Roman" w:hAnsi="Times New Roman"/>
          <w:sz w:val="24"/>
        </w:rPr>
        <w:t xml:space="preserve">DECLARACIÓN DE IMPACTO SOBRE LAS PEQUEÑAS Y MICROEMPRESAS Y LA COMUNIDAD RURAL: Casey Nichols ha determinado que no se requiere una declaración de impacto económico y análisis de flexibilidad normativa para pequeñas empresas, microempresas y comunidades rurales para esta regla propuesta. </w:t>
      </w:r>
    </w:p>
    <w:p w14:paraId="5A76C056" w14:textId="77777777" w:rsidR="002604CF" w:rsidRPr="00757754" w:rsidRDefault="002604CF" w:rsidP="002604CF">
      <w:pPr>
        <w:spacing w:after="0" w:line="240" w:lineRule="auto"/>
        <w:rPr>
          <w:rFonts w:ascii="Times New Roman" w:hAnsi="Times New Roman" w:cs="Times New Roman"/>
          <w:sz w:val="24"/>
          <w:szCs w:val="24"/>
        </w:rPr>
      </w:pPr>
    </w:p>
    <w:p w14:paraId="6D10C40D" w14:textId="32CA1067" w:rsidR="002604CF" w:rsidRDefault="002604CF" w:rsidP="002604CF">
      <w:pPr>
        <w:spacing w:after="0" w:line="240" w:lineRule="auto"/>
        <w:rPr>
          <w:rFonts w:ascii="Times New Roman" w:hAnsi="Times New Roman" w:cs="Times New Roman"/>
          <w:sz w:val="24"/>
          <w:szCs w:val="24"/>
        </w:rPr>
      </w:pPr>
      <w:r>
        <w:rPr>
          <w:rFonts w:ascii="Times New Roman" w:hAnsi="Times New Roman"/>
          <w:sz w:val="24"/>
        </w:rPr>
        <w:t xml:space="preserve">DECLARACIÓN DE IMPACTO SOBRE EL CRECIMIENTO DEL GOBIERNO: La Junta ha determinado que, durante el primer período de cinco años en que esté vigente la regla, se aplicarían los siguientes efectos sobre el crecimiento gubernamental: (1) la regla propuesta no crea ni elimina un programa de gobierno; (2) la implementación de la regla propuesta no requiere la creación o eliminación de puestos de empleados; (3) la implementación de la regla propuesta no requiere un aumento o disminución en las apropiaciones futuras; (4) la regla propuesta no requiere un aumento en los honorarios pagados a la agencia; (5) la regla propuesta no crea una nueva regulación; (6) la regla propuesta no limita una regulación existente; (7) la regla propuesta no aumenta ni disminuye la cantidad de personas sujetas a ella; y (8) la regla propuesta no afecta de manera positiva o adversa la economía del estado. </w:t>
      </w:r>
    </w:p>
    <w:p w14:paraId="704727F7" w14:textId="77777777" w:rsidR="00E97C9E" w:rsidRDefault="00E97C9E" w:rsidP="002604CF">
      <w:pPr>
        <w:spacing w:after="0" w:line="240" w:lineRule="auto"/>
        <w:rPr>
          <w:rFonts w:ascii="Times New Roman" w:hAnsi="Times New Roman" w:cs="Times New Roman"/>
          <w:sz w:val="24"/>
          <w:szCs w:val="24"/>
        </w:rPr>
      </w:pPr>
    </w:p>
    <w:p w14:paraId="2D126B10" w14:textId="0CE406C1" w:rsidR="00E97C9E" w:rsidRDefault="00E97C9E" w:rsidP="002604CF">
      <w:pPr>
        <w:spacing w:after="0" w:line="240" w:lineRule="auto"/>
        <w:rPr>
          <w:rFonts w:ascii="Times New Roman" w:hAnsi="Times New Roman" w:cs="Times New Roman"/>
          <w:sz w:val="24"/>
          <w:szCs w:val="24"/>
        </w:rPr>
      </w:pPr>
      <w:r>
        <w:rPr>
          <w:rFonts w:ascii="Times New Roman" w:hAnsi="Times New Roman"/>
          <w:sz w:val="24"/>
        </w:rPr>
        <w:t>La Junta solicita comentarios públicos sobre la regla propuesta e información relacionada con el costo, beneficio o efecto de la regla propuesta, incluidos los datos, investigaciones o análisis aplicables. Toda información que se presente en respuesta a esta solicitud debe incluir una explicación de cómo y por qué la información presentada es específica a la regla propuesta.</w:t>
      </w:r>
    </w:p>
    <w:p w14:paraId="7DCE5659" w14:textId="77777777" w:rsidR="00352A6B" w:rsidRPr="00757754" w:rsidRDefault="00352A6B" w:rsidP="002604CF">
      <w:pPr>
        <w:spacing w:after="0" w:line="240" w:lineRule="auto"/>
        <w:rPr>
          <w:rFonts w:ascii="Times New Roman" w:hAnsi="Times New Roman" w:cs="Times New Roman"/>
          <w:sz w:val="24"/>
          <w:szCs w:val="24"/>
        </w:rPr>
      </w:pPr>
    </w:p>
    <w:p w14:paraId="373E0D73" w14:textId="77777777" w:rsidR="002604CF" w:rsidRPr="00757754" w:rsidRDefault="002604CF" w:rsidP="002604CF">
      <w:pPr>
        <w:spacing w:after="0" w:line="240" w:lineRule="auto"/>
        <w:rPr>
          <w:rFonts w:ascii="Times New Roman" w:hAnsi="Times New Roman" w:cs="Times New Roman"/>
          <w:sz w:val="24"/>
          <w:szCs w:val="24"/>
        </w:rPr>
      </w:pPr>
      <w:r>
        <w:rPr>
          <w:rFonts w:ascii="Times New Roman" w:hAnsi="Times New Roman"/>
          <w:sz w:val="24"/>
        </w:rPr>
        <w:t xml:space="preserve">Se pueden enviar comentarios sobre la regla propuesta a Casey Nichols, </w:t>
      </w:r>
      <w:proofErr w:type="gramStart"/>
      <w:r>
        <w:rPr>
          <w:rFonts w:ascii="Times New Roman" w:hAnsi="Times New Roman"/>
          <w:sz w:val="24"/>
        </w:rPr>
        <w:t>Directora Ejecutiva</w:t>
      </w:r>
      <w:proofErr w:type="gramEnd"/>
      <w:r>
        <w:rPr>
          <w:rFonts w:ascii="Times New Roman" w:hAnsi="Times New Roman"/>
          <w:sz w:val="24"/>
        </w:rPr>
        <w:t xml:space="preserve">, a 1801 </w:t>
      </w:r>
      <w:proofErr w:type="spellStart"/>
      <w:r>
        <w:rPr>
          <w:rFonts w:ascii="Times New Roman" w:hAnsi="Times New Roman"/>
          <w:sz w:val="24"/>
        </w:rPr>
        <w:t>Congress</w:t>
      </w:r>
      <w:proofErr w:type="spellEnd"/>
      <w:r>
        <w:rPr>
          <w:rFonts w:ascii="Times New Roman" w:hAnsi="Times New Roman"/>
          <w:sz w:val="24"/>
        </w:rPr>
        <w:t xml:space="preserve"> Avenue, Suite 8.600, Austin, Texas 78701, por fax al (512) 649-2482, o por correo electrónico a official_rules_comments@tsbde.texas.gov durante 30 días luego de la fecha de publicación de la regla propuesta en el </w:t>
      </w:r>
      <w:r>
        <w:rPr>
          <w:rFonts w:ascii="Times New Roman" w:hAnsi="Times New Roman"/>
          <w:i/>
          <w:sz w:val="24"/>
        </w:rPr>
        <w:t>Registro de Texas</w:t>
      </w:r>
      <w:r>
        <w:rPr>
          <w:rFonts w:ascii="Times New Roman" w:hAnsi="Times New Roman"/>
          <w:sz w:val="24"/>
        </w:rPr>
        <w:t xml:space="preserve">. Para que se tenga en cuenta a fines de esta creación de reglas, los comentarios deben: (1) tener sello postal o enviarse antes del último día del período de comentarios; o (2) enviarse por fax o correo electrónico antes de la medianoche del último día del período de comentarios. </w:t>
      </w:r>
    </w:p>
    <w:p w14:paraId="6296CFD0" w14:textId="77777777" w:rsidR="002604CF" w:rsidRPr="00757754" w:rsidRDefault="002604CF" w:rsidP="002604CF">
      <w:pPr>
        <w:spacing w:after="0" w:line="240" w:lineRule="auto"/>
        <w:rPr>
          <w:rFonts w:ascii="Times New Roman" w:hAnsi="Times New Roman" w:cs="Times New Roman"/>
          <w:sz w:val="24"/>
          <w:szCs w:val="24"/>
        </w:rPr>
      </w:pPr>
    </w:p>
    <w:p w14:paraId="71558DB0" w14:textId="5276E070" w:rsidR="00AD218F" w:rsidRDefault="002604CF" w:rsidP="00F57022">
      <w:pPr>
        <w:rPr>
          <w:rFonts w:ascii="Times New Roman" w:hAnsi="Times New Roman" w:cs="Times New Roman"/>
          <w:sz w:val="24"/>
          <w:szCs w:val="24"/>
        </w:rPr>
      </w:pPr>
      <w:r>
        <w:rPr>
          <w:rFonts w:ascii="Times New Roman" w:hAnsi="Times New Roman"/>
          <w:sz w:val="24"/>
        </w:rPr>
        <w:lastRenderedPageBreak/>
        <w:t>Esta regla se propone conforme a la regla 254.001(a) del Código de Ocupaciones de Texas, que reviste a la Junta de autoridad para adoptar reglas necesarias para realizar sus tareas y garantizar el cumplimiento de las leyes estatales con respecto a la práctica de la odontología en un ámbito profesional para proteger la salud pública y la seguridad.</w:t>
      </w:r>
    </w:p>
    <w:p w14:paraId="1BE6D5B7" w14:textId="4BB067D7" w:rsidR="008774A3" w:rsidRDefault="008774A3" w:rsidP="00F57022">
      <w:pPr>
        <w:rPr>
          <w:rFonts w:ascii="Times New Roman" w:hAnsi="Times New Roman" w:cs="Times New Roman"/>
          <w:sz w:val="24"/>
          <w:szCs w:val="24"/>
        </w:rPr>
      </w:pPr>
      <w:r>
        <w:rPr>
          <w:rFonts w:ascii="Times New Roman" w:hAnsi="Times New Roman"/>
          <w:sz w:val="24"/>
        </w:rPr>
        <w:t>La presente propuesta no afecta a otros estatutos, artículos o códigos.</w:t>
      </w:r>
    </w:p>
    <w:p w14:paraId="38454A84" w14:textId="77A6D6F3" w:rsidR="00E55A69" w:rsidRDefault="002604CF" w:rsidP="00E55372">
      <w:pPr>
        <w:spacing w:after="0" w:line="240" w:lineRule="auto"/>
        <w:rPr>
          <w:rFonts w:ascii="Times New Roman" w:hAnsi="Times New Roman" w:cs="Times New Roman"/>
          <w:sz w:val="24"/>
          <w:szCs w:val="24"/>
        </w:rPr>
      </w:pPr>
      <w:r>
        <w:rPr>
          <w:rFonts w:ascii="Times New Roman" w:hAnsi="Times New Roman"/>
          <w:sz w:val="24"/>
        </w:rPr>
        <w:t xml:space="preserve">Los asesores legales de la Junta han revisado la regla propuesta y determinado que su adopción se encuentra dentro de la autoridad de la Junta. </w:t>
      </w:r>
    </w:p>
    <w:p w14:paraId="5EC3602B" w14:textId="77777777" w:rsidR="00AD218F" w:rsidRPr="00E55372" w:rsidRDefault="00AD218F" w:rsidP="00E55372">
      <w:pPr>
        <w:spacing w:after="0" w:line="240" w:lineRule="auto"/>
        <w:rPr>
          <w:rFonts w:ascii="Times New Roman" w:hAnsi="Times New Roman" w:cs="Times New Roman"/>
          <w:sz w:val="24"/>
          <w:szCs w:val="24"/>
        </w:rPr>
      </w:pPr>
    </w:p>
    <w:p w14:paraId="45D27804" w14:textId="2251D42B" w:rsidR="002604CF" w:rsidRPr="00757754" w:rsidRDefault="002604CF" w:rsidP="002604CF">
      <w:pPr>
        <w:spacing w:after="0" w:line="240" w:lineRule="auto"/>
        <w:rPr>
          <w:rFonts w:ascii="Times New Roman" w:eastAsia="Times New Roman" w:hAnsi="Times New Roman" w:cs="Times New Roman"/>
          <w:sz w:val="24"/>
          <w:szCs w:val="24"/>
        </w:rPr>
      </w:pPr>
      <w:r>
        <w:rPr>
          <w:rFonts w:ascii="Times New Roman" w:hAnsi="Times New Roman"/>
          <w:sz w:val="24"/>
        </w:rPr>
        <w:t>&lt;regla&gt;</w:t>
      </w:r>
    </w:p>
    <w:p w14:paraId="035143E8" w14:textId="77777777" w:rsidR="00171F70" w:rsidRPr="00B357C2" w:rsidRDefault="00171F70" w:rsidP="00465BBD">
      <w:pPr>
        <w:spacing w:after="0" w:line="240" w:lineRule="auto"/>
        <w:rPr>
          <w:rFonts w:ascii="Times New Roman" w:eastAsia="Times New Roman" w:hAnsi="Times New Roman" w:cs="Times New Roman"/>
          <w:sz w:val="24"/>
          <w:szCs w:val="24"/>
        </w:rPr>
      </w:pPr>
    </w:p>
    <w:p w14:paraId="62D6448B" w14:textId="22E3CA98" w:rsidR="00C96851" w:rsidRPr="008172E8" w:rsidRDefault="00465BBD" w:rsidP="00465BBD">
      <w:pPr>
        <w:spacing w:after="0" w:line="240" w:lineRule="auto"/>
        <w:rPr>
          <w:rFonts w:ascii="Times New Roman" w:eastAsia="Times New Roman" w:hAnsi="Times New Roman" w:cs="Times New Roman"/>
          <w:sz w:val="24"/>
          <w:szCs w:val="24"/>
        </w:rPr>
      </w:pPr>
      <w:r>
        <w:rPr>
          <w:rFonts w:ascii="Times New Roman" w:hAnsi="Times New Roman"/>
          <w:sz w:val="24"/>
        </w:rPr>
        <w:t xml:space="preserve">§117.2. Licencia de para personal académico de Odontología. </w:t>
      </w:r>
    </w:p>
    <w:p w14:paraId="2C8D5CAF" w14:textId="77777777" w:rsidR="00CD3832" w:rsidRDefault="00CD3832" w:rsidP="00465BBD">
      <w:pPr>
        <w:spacing w:after="0" w:line="240" w:lineRule="auto"/>
        <w:rPr>
          <w:rFonts w:ascii="Times New Roman" w:eastAsia="Times New Roman" w:hAnsi="Times New Roman" w:cs="Times New Roman"/>
          <w:sz w:val="24"/>
          <w:szCs w:val="24"/>
        </w:rPr>
      </w:pPr>
    </w:p>
    <w:p w14:paraId="7508F975" w14:textId="3B02884F" w:rsidR="002D08B2" w:rsidRDefault="002D08B2" w:rsidP="002D08B2">
      <w:pPr>
        <w:rPr>
          <w:rFonts w:ascii="Times New Roman" w:hAnsi="Times New Roman" w:cs="Times New Roman"/>
          <w:sz w:val="24"/>
          <w:szCs w:val="24"/>
        </w:rPr>
      </w:pPr>
      <w:r>
        <w:rPr>
          <w:rFonts w:ascii="Times New Roman" w:hAnsi="Times New Roman"/>
          <w:sz w:val="24"/>
        </w:rPr>
        <w:t>(</w:t>
      </w:r>
      <w:r w:rsidR="000E167C">
        <w:rPr>
          <w:rFonts w:ascii="Times New Roman" w:hAnsi="Times New Roman"/>
          <w:sz w:val="24"/>
        </w:rPr>
        <w:t>a</w:t>
      </w:r>
      <w:r>
        <w:rPr>
          <w:rFonts w:ascii="Times New Roman" w:hAnsi="Times New Roman"/>
          <w:sz w:val="24"/>
        </w:rPr>
        <w:t xml:space="preserve">) </w:t>
      </w:r>
      <w:r>
        <w:rPr>
          <w:rFonts w:ascii="Times New Roman" w:hAnsi="Times New Roman"/>
          <w:sz w:val="24"/>
          <w:u w:val="single"/>
        </w:rPr>
        <w:t>La Junta</w:t>
      </w:r>
      <w:r>
        <w:rPr>
          <w:rFonts w:ascii="Times New Roman" w:hAnsi="Times New Roman"/>
          <w:sz w:val="24"/>
        </w:rPr>
        <w:t xml:space="preserve"> [</w:t>
      </w:r>
      <w:r>
        <w:rPr>
          <w:rFonts w:ascii="Times New Roman" w:hAnsi="Times New Roman"/>
          <w:strike/>
          <w:sz w:val="24"/>
        </w:rPr>
        <w:t>A partir del 1 de marzo de 2004, el SBDE</w:t>
      </w:r>
      <w:r>
        <w:rPr>
          <w:rFonts w:ascii="Times New Roman" w:hAnsi="Times New Roman"/>
          <w:sz w:val="24"/>
        </w:rPr>
        <w:t>] emitirá una licencia a un miembro del personal académico de odontología que brinde atención directa al paciente, mediante el pago de una tarifa por un monto establecido por la Junta, que</w:t>
      </w:r>
      <w:r>
        <w:rPr>
          <w:rFonts w:ascii="Times New Roman" w:hAnsi="Times New Roman"/>
          <w:sz w:val="24"/>
          <w:u w:val="single"/>
        </w:rPr>
        <w:t>:</w:t>
      </w:r>
      <w:r>
        <w:rPr>
          <w:rFonts w:ascii="Times New Roman" w:hAnsi="Times New Roman"/>
          <w:sz w:val="24"/>
        </w:rPr>
        <w:t xml:space="preserve"> [</w:t>
      </w:r>
      <w:r>
        <w:rPr>
          <w:rFonts w:ascii="Times New Roman" w:hAnsi="Times New Roman"/>
          <w:strike/>
          <w:sz w:val="24"/>
        </w:rPr>
        <w:t>cumple con todos los siguientes criterios:</w:t>
      </w:r>
      <w:r>
        <w:rPr>
          <w:rFonts w:ascii="Times New Roman" w:hAnsi="Times New Roman"/>
          <w:sz w:val="24"/>
        </w:rPr>
        <w:t>]</w:t>
      </w:r>
    </w:p>
    <w:p w14:paraId="49F012BA" w14:textId="38E3B98B" w:rsidR="009A6334" w:rsidRPr="009A6334" w:rsidRDefault="009A6334" w:rsidP="002D08B2">
      <w:pPr>
        <w:rPr>
          <w:rFonts w:ascii="Times New Roman" w:hAnsi="Times New Roman" w:cs="Times New Roman"/>
          <w:sz w:val="24"/>
          <w:szCs w:val="24"/>
          <w:u w:val="single"/>
        </w:rPr>
      </w:pPr>
      <w:r>
        <w:rPr>
          <w:rFonts w:ascii="Times New Roman" w:hAnsi="Times New Roman"/>
          <w:sz w:val="24"/>
          <w:u w:val="single"/>
        </w:rPr>
        <w:t>(1) cumpla con los requisitos del Código de Ocupaciones de Texas §267.003; y</w:t>
      </w:r>
    </w:p>
    <w:p w14:paraId="4966ADE2" w14:textId="1351D148" w:rsidR="002D08B2" w:rsidRPr="002D08B2" w:rsidRDefault="009A6334" w:rsidP="002D08B2">
      <w:pPr>
        <w:rPr>
          <w:rFonts w:ascii="Times New Roman" w:hAnsi="Times New Roman" w:cs="Times New Roman"/>
          <w:sz w:val="24"/>
          <w:szCs w:val="24"/>
        </w:rPr>
      </w:pPr>
      <w:r>
        <w:rPr>
          <w:rFonts w:ascii="Times New Roman" w:hAnsi="Times New Roman"/>
          <w:sz w:val="24"/>
          <w:u w:val="single"/>
        </w:rPr>
        <w:t>(2)</w:t>
      </w:r>
      <w:r>
        <w:rPr>
          <w:rFonts w:ascii="Times New Roman" w:hAnsi="Times New Roman"/>
          <w:sz w:val="24"/>
        </w:rPr>
        <w:t xml:space="preserve"> [</w:t>
      </w:r>
      <w:r>
        <w:rPr>
          <w:rFonts w:ascii="Times New Roman" w:hAnsi="Times New Roman"/>
          <w:strike/>
          <w:sz w:val="24"/>
        </w:rPr>
        <w:t>(1)</w:t>
      </w:r>
      <w:r>
        <w:rPr>
          <w:rFonts w:ascii="Times New Roman" w:hAnsi="Times New Roman"/>
          <w:sz w:val="24"/>
        </w:rPr>
        <w:t>] presente documentación de prueba de ciudadanía de los Estados Unidos, residencia legal permanente en los Estados Unidos o autorización federal para trabajar. Este requisito se aplica a las solicitudes iniciales y de renovación. El solicitante debe presentar uno de los siguientes:</w:t>
      </w:r>
    </w:p>
    <w:p w14:paraId="6A31DBAC" w14:textId="3D48A490" w:rsidR="002D08B2" w:rsidRPr="002D08B2" w:rsidRDefault="002D08B2" w:rsidP="002D08B2">
      <w:pPr>
        <w:rPr>
          <w:rFonts w:ascii="Times New Roman" w:hAnsi="Times New Roman" w:cs="Times New Roman"/>
          <w:sz w:val="24"/>
          <w:szCs w:val="24"/>
        </w:rPr>
      </w:pPr>
      <w:r>
        <w:rPr>
          <w:rFonts w:ascii="Times New Roman" w:hAnsi="Times New Roman"/>
          <w:sz w:val="24"/>
        </w:rPr>
        <w:t xml:space="preserve">(A) Una licencia de conducir válida y vigente o un certificado de identificación estatal emitido por un estado o territorio de los Estados Unidos que cumpla con los requisitos mínimos de documentación y estándares de emisión para el reconocimiento federal conforme a la Ley REAL ID de 2005, la Ley Pública 109-13, a menos que la licencia de conducir esté marcada como </w:t>
      </w:r>
      <w:r w:rsidR="008E0C0C">
        <w:rPr>
          <w:rFonts w:ascii="Times New Roman" w:hAnsi="Times New Roman"/>
          <w:sz w:val="24"/>
        </w:rPr>
        <w:t>“</w:t>
      </w:r>
      <w:r>
        <w:rPr>
          <w:rFonts w:ascii="Times New Roman" w:hAnsi="Times New Roman"/>
          <w:sz w:val="24"/>
        </w:rPr>
        <w:t>Plazo Limitado</w:t>
      </w:r>
      <w:r w:rsidR="008E0C0C">
        <w:rPr>
          <w:rFonts w:ascii="Times New Roman" w:hAnsi="Times New Roman"/>
          <w:sz w:val="24"/>
        </w:rPr>
        <w:t>”</w:t>
      </w:r>
      <w:r>
        <w:rPr>
          <w:rFonts w:ascii="Times New Roman" w:hAnsi="Times New Roman"/>
          <w:sz w:val="24"/>
        </w:rPr>
        <w:t xml:space="preserve"> o </w:t>
      </w:r>
      <w:r w:rsidR="008E0C0C">
        <w:rPr>
          <w:rFonts w:ascii="Times New Roman" w:hAnsi="Times New Roman"/>
          <w:sz w:val="24"/>
        </w:rPr>
        <w:t>“</w:t>
      </w:r>
      <w:r>
        <w:rPr>
          <w:rFonts w:ascii="Times New Roman" w:hAnsi="Times New Roman"/>
          <w:sz w:val="24"/>
        </w:rPr>
        <w:t>Temporaria</w:t>
      </w:r>
      <w:r w:rsidR="008E0C0C">
        <w:rPr>
          <w:rFonts w:ascii="Times New Roman" w:hAnsi="Times New Roman"/>
          <w:sz w:val="24"/>
        </w:rPr>
        <w:t>”</w:t>
      </w:r>
      <w:r>
        <w:rPr>
          <w:rFonts w:ascii="Times New Roman" w:hAnsi="Times New Roman"/>
          <w:sz w:val="24"/>
        </w:rPr>
        <w:t>;</w:t>
      </w:r>
    </w:p>
    <w:p w14:paraId="4C4782B3" w14:textId="6DA04D15" w:rsidR="002D08B2" w:rsidRPr="002D08B2" w:rsidRDefault="002D08B2" w:rsidP="002D08B2">
      <w:pPr>
        <w:rPr>
          <w:rFonts w:ascii="Times New Roman" w:hAnsi="Times New Roman" w:cs="Times New Roman"/>
          <w:sz w:val="24"/>
          <w:szCs w:val="24"/>
        </w:rPr>
      </w:pPr>
      <w:r>
        <w:rPr>
          <w:rFonts w:ascii="Times New Roman" w:hAnsi="Times New Roman"/>
          <w:sz w:val="24"/>
        </w:rPr>
        <w:t xml:space="preserve">(B) Una licencia de conducir válida y vigente o un certificado de identificación estatal que no cumpla con la REAL ID emitida por uno de los siguientes estados: Alabama, Alaska, Arizona, Arkansas, Florida, Georgia, Idaho, Indiana, Iowa, Kansas, Kentucky, </w:t>
      </w:r>
      <w:proofErr w:type="spellStart"/>
      <w:r>
        <w:rPr>
          <w:rFonts w:ascii="Times New Roman" w:hAnsi="Times New Roman"/>
          <w:sz w:val="24"/>
        </w:rPr>
        <w:t>Louisiana</w:t>
      </w:r>
      <w:proofErr w:type="spellEnd"/>
      <w:r>
        <w:rPr>
          <w:rFonts w:ascii="Times New Roman" w:hAnsi="Times New Roman"/>
          <w:sz w:val="24"/>
        </w:rPr>
        <w:t xml:space="preserve">, Maine, Michigan, Mississippi, Missouri, Montana, Nebraska, </w:t>
      </w:r>
      <w:proofErr w:type="gramStart"/>
      <w:r>
        <w:rPr>
          <w:rFonts w:ascii="Times New Roman" w:hAnsi="Times New Roman"/>
          <w:sz w:val="24"/>
        </w:rPr>
        <w:t>New Hampshire</w:t>
      </w:r>
      <w:proofErr w:type="gramEnd"/>
      <w:r>
        <w:rPr>
          <w:rFonts w:ascii="Times New Roman" w:hAnsi="Times New Roman"/>
          <w:sz w:val="24"/>
        </w:rPr>
        <w:t>, Carolina del Norte, Dakota del Norte, Ohio, Oklahoma, Pensilvania, Carolina del Sur, Dakota del Sur, Tennessee, Texas, Virginia Occidental, Wisconsin o Wyoming;</w:t>
      </w:r>
    </w:p>
    <w:p w14:paraId="0CA59D23" w14:textId="0C410A9C" w:rsidR="002D08B2" w:rsidRPr="002D08B2" w:rsidRDefault="000E167C" w:rsidP="002D08B2">
      <w:pPr>
        <w:rPr>
          <w:rFonts w:ascii="Times New Roman" w:hAnsi="Times New Roman" w:cs="Times New Roman"/>
          <w:sz w:val="24"/>
          <w:szCs w:val="24"/>
        </w:rPr>
      </w:pPr>
      <w:r>
        <w:rPr>
          <w:rFonts w:ascii="Times New Roman" w:hAnsi="Times New Roman"/>
          <w:sz w:val="24"/>
        </w:rPr>
        <w:t>(</w:t>
      </w:r>
      <w:r w:rsidR="002D08B2">
        <w:rPr>
          <w:rFonts w:ascii="Times New Roman" w:hAnsi="Times New Roman"/>
          <w:sz w:val="24"/>
        </w:rPr>
        <w:t>C) Un pasaporte válido. El pasaporte válido se define como:</w:t>
      </w:r>
    </w:p>
    <w:p w14:paraId="72FFFB3E" w14:textId="553863B1" w:rsidR="002D08B2" w:rsidRPr="002D08B2" w:rsidRDefault="002D08B2" w:rsidP="002D08B2">
      <w:pPr>
        <w:rPr>
          <w:rFonts w:ascii="Times New Roman" w:hAnsi="Times New Roman" w:cs="Times New Roman"/>
          <w:sz w:val="24"/>
          <w:szCs w:val="24"/>
        </w:rPr>
      </w:pPr>
      <w:r>
        <w:rPr>
          <w:rFonts w:ascii="Times New Roman" w:hAnsi="Times New Roman"/>
          <w:sz w:val="24"/>
        </w:rPr>
        <w:t>(i) Un pasaporte o tarjeta de pasaporte vigente emitida por el gobierno de los Estados Unidos; o</w:t>
      </w:r>
    </w:p>
    <w:p w14:paraId="4BDF3975" w14:textId="36FA1D64" w:rsidR="002D08B2" w:rsidRPr="002D08B2" w:rsidRDefault="002D08B2" w:rsidP="002D08B2">
      <w:pPr>
        <w:rPr>
          <w:rFonts w:ascii="Times New Roman" w:hAnsi="Times New Roman" w:cs="Times New Roman"/>
          <w:sz w:val="24"/>
          <w:szCs w:val="24"/>
        </w:rPr>
      </w:pPr>
      <w:r>
        <w:rPr>
          <w:rFonts w:ascii="Times New Roman" w:hAnsi="Times New Roman"/>
          <w:sz w:val="24"/>
        </w:rPr>
        <w:t>(</w:t>
      </w:r>
      <w:proofErr w:type="spellStart"/>
      <w:r>
        <w:rPr>
          <w:rFonts w:ascii="Times New Roman" w:hAnsi="Times New Roman"/>
          <w:sz w:val="24"/>
        </w:rPr>
        <w:t>ii</w:t>
      </w:r>
      <w:proofErr w:type="spellEnd"/>
      <w:r>
        <w:rPr>
          <w:rFonts w:ascii="Times New Roman" w:hAnsi="Times New Roman"/>
          <w:sz w:val="24"/>
        </w:rPr>
        <w:t>) Un pasaporte vigente emitido por el gobierno de otro país acompañado de una tarjeta de residente permanente actual o visa de inmigrante vigente emitida por el Departamento de Seguridad Nacional de los Estados Unidos;</w:t>
      </w:r>
    </w:p>
    <w:p w14:paraId="5E6CF81D" w14:textId="344651FB" w:rsidR="002D08B2" w:rsidRPr="002D08B2" w:rsidRDefault="002D08B2" w:rsidP="002D08B2">
      <w:pPr>
        <w:rPr>
          <w:rFonts w:ascii="Times New Roman" w:hAnsi="Times New Roman" w:cs="Times New Roman"/>
          <w:sz w:val="24"/>
          <w:szCs w:val="24"/>
        </w:rPr>
      </w:pPr>
      <w:r>
        <w:rPr>
          <w:rFonts w:ascii="Times New Roman" w:hAnsi="Times New Roman"/>
          <w:sz w:val="24"/>
        </w:rPr>
        <w:t>(D) Una licencia válida y vigente para portar una pistola emitida por el Departamento de Seguridad Pública de Texas conforme al Código de Gobierno, Capítulo 411, Subcapítulo H;</w:t>
      </w:r>
    </w:p>
    <w:p w14:paraId="1DBD676B" w14:textId="08C3DD0F" w:rsidR="002D08B2" w:rsidRPr="002D08B2" w:rsidRDefault="002D08B2" w:rsidP="002D08B2">
      <w:pPr>
        <w:rPr>
          <w:rFonts w:ascii="Times New Roman" w:hAnsi="Times New Roman" w:cs="Times New Roman"/>
          <w:sz w:val="24"/>
          <w:szCs w:val="24"/>
        </w:rPr>
      </w:pPr>
      <w:r>
        <w:rPr>
          <w:rFonts w:ascii="Times New Roman" w:hAnsi="Times New Roman"/>
          <w:sz w:val="24"/>
        </w:rPr>
        <w:t>(E) Un Certificado de Naturalización de los Estados Unidos (Formulario N-550 o N-570); o</w:t>
      </w:r>
    </w:p>
    <w:p w14:paraId="429D5733" w14:textId="7112B1F1" w:rsidR="002D08B2" w:rsidRPr="002D08B2" w:rsidRDefault="002D08B2" w:rsidP="002D08B2">
      <w:pPr>
        <w:rPr>
          <w:rFonts w:ascii="Times New Roman" w:hAnsi="Times New Roman" w:cs="Times New Roman"/>
          <w:sz w:val="24"/>
          <w:szCs w:val="24"/>
        </w:rPr>
      </w:pPr>
      <w:r>
        <w:rPr>
          <w:rFonts w:ascii="Times New Roman" w:hAnsi="Times New Roman"/>
          <w:sz w:val="24"/>
        </w:rPr>
        <w:lastRenderedPageBreak/>
        <w:t>(F) Un Certificado de Ciudadanía de los Estados Unidos (Formulario N-560 o N-561)</w:t>
      </w:r>
      <w:r>
        <w:rPr>
          <w:rFonts w:ascii="Times New Roman" w:hAnsi="Times New Roman"/>
          <w:sz w:val="24"/>
          <w:u w:val="single"/>
        </w:rPr>
        <w:t>.</w:t>
      </w:r>
      <w:r>
        <w:rPr>
          <w:rFonts w:ascii="Times New Roman" w:hAnsi="Times New Roman"/>
          <w:sz w:val="24"/>
        </w:rPr>
        <w:t xml:space="preserve"> [</w:t>
      </w:r>
      <w:r>
        <w:rPr>
          <w:rFonts w:ascii="Times New Roman" w:hAnsi="Times New Roman"/>
          <w:strike/>
          <w:sz w:val="24"/>
        </w:rPr>
        <w:t>;</w:t>
      </w:r>
      <w:r>
        <w:rPr>
          <w:rFonts w:ascii="Times New Roman" w:hAnsi="Times New Roman"/>
          <w:sz w:val="24"/>
        </w:rPr>
        <w:t>]</w:t>
      </w:r>
    </w:p>
    <w:p w14:paraId="5B66E3EF" w14:textId="68111239" w:rsidR="002D08B2" w:rsidRPr="002D08B2" w:rsidRDefault="009A6334" w:rsidP="002D08B2">
      <w:pPr>
        <w:rPr>
          <w:rFonts w:ascii="Times New Roman" w:hAnsi="Times New Roman" w:cs="Times New Roman"/>
          <w:sz w:val="24"/>
          <w:szCs w:val="24"/>
        </w:rPr>
      </w:pPr>
      <w:r>
        <w:rPr>
          <w:rFonts w:ascii="Times New Roman" w:hAnsi="Times New Roman"/>
          <w:sz w:val="24"/>
        </w:rPr>
        <w:t>[</w:t>
      </w:r>
      <w:r>
        <w:rPr>
          <w:rFonts w:ascii="Times New Roman" w:hAnsi="Times New Roman"/>
          <w:strike/>
          <w:sz w:val="24"/>
        </w:rPr>
        <w:t>(2) tiene un título de una escuela de odontología;</w:t>
      </w:r>
      <w:r>
        <w:rPr>
          <w:rFonts w:ascii="Times New Roman" w:hAnsi="Times New Roman"/>
          <w:sz w:val="24"/>
        </w:rPr>
        <w:t>]</w:t>
      </w:r>
    </w:p>
    <w:p w14:paraId="4AD6EF49" w14:textId="5EE2E656" w:rsidR="002D08B2" w:rsidRPr="002D08B2" w:rsidRDefault="009A6334" w:rsidP="002D08B2">
      <w:pPr>
        <w:rPr>
          <w:rFonts w:ascii="Times New Roman" w:hAnsi="Times New Roman" w:cs="Times New Roman"/>
          <w:sz w:val="24"/>
          <w:szCs w:val="24"/>
        </w:rPr>
      </w:pPr>
      <w:r>
        <w:rPr>
          <w:rFonts w:ascii="Times New Roman" w:hAnsi="Times New Roman"/>
          <w:sz w:val="24"/>
        </w:rPr>
        <w:t>[</w:t>
      </w:r>
      <w:r>
        <w:rPr>
          <w:rFonts w:ascii="Times New Roman" w:hAnsi="Times New Roman"/>
          <w:strike/>
          <w:sz w:val="24"/>
        </w:rPr>
        <w:t>(3) Tiene un puesto de facultad asalariado de tiempo completo o medio tiempo en una escuela de higiene dental o dental acreditada por la Comisión de Acreditación Dental de la Asociación Dental Americana;</w:t>
      </w:r>
      <w:r>
        <w:rPr>
          <w:rFonts w:ascii="Times New Roman" w:hAnsi="Times New Roman"/>
          <w:sz w:val="24"/>
        </w:rPr>
        <w:t>]</w:t>
      </w:r>
    </w:p>
    <w:p w14:paraId="3B1B192D" w14:textId="66B39089" w:rsidR="002D08B2" w:rsidRPr="002D08B2" w:rsidRDefault="009A6334" w:rsidP="002D08B2">
      <w:pPr>
        <w:rPr>
          <w:rFonts w:ascii="Times New Roman" w:hAnsi="Times New Roman" w:cs="Times New Roman"/>
          <w:sz w:val="24"/>
          <w:szCs w:val="24"/>
        </w:rPr>
      </w:pPr>
      <w:r>
        <w:rPr>
          <w:rFonts w:ascii="Times New Roman" w:hAnsi="Times New Roman"/>
          <w:sz w:val="24"/>
        </w:rPr>
        <w:t>[</w:t>
      </w:r>
      <w:r>
        <w:rPr>
          <w:rFonts w:ascii="Times New Roman" w:hAnsi="Times New Roman"/>
          <w:strike/>
          <w:sz w:val="24"/>
        </w:rPr>
        <w:t xml:space="preserve">(4) obtiene el respaldo de la solicitud del Decano, </w:t>
      </w:r>
      <w:proofErr w:type="gramStart"/>
      <w:r>
        <w:rPr>
          <w:rFonts w:ascii="Times New Roman" w:hAnsi="Times New Roman"/>
          <w:strike/>
          <w:sz w:val="24"/>
        </w:rPr>
        <w:t>Presidente</w:t>
      </w:r>
      <w:proofErr w:type="gramEnd"/>
      <w:r>
        <w:rPr>
          <w:rFonts w:ascii="Times New Roman" w:hAnsi="Times New Roman"/>
          <w:strike/>
          <w:sz w:val="24"/>
        </w:rPr>
        <w:t xml:space="preserve"> de Departamento o Director del Programa del empleador-escuela;</w:t>
      </w:r>
      <w:r>
        <w:rPr>
          <w:rFonts w:ascii="Times New Roman" w:hAnsi="Times New Roman"/>
          <w:sz w:val="24"/>
        </w:rPr>
        <w:t>]</w:t>
      </w:r>
    </w:p>
    <w:p w14:paraId="679B1D58" w14:textId="12889639" w:rsidR="002D08B2" w:rsidRPr="002D08B2" w:rsidRDefault="009A6334" w:rsidP="002D08B2">
      <w:pPr>
        <w:rPr>
          <w:rFonts w:ascii="Times New Roman" w:hAnsi="Times New Roman" w:cs="Times New Roman"/>
          <w:sz w:val="24"/>
          <w:szCs w:val="24"/>
        </w:rPr>
      </w:pPr>
      <w:r>
        <w:rPr>
          <w:rFonts w:ascii="Times New Roman" w:hAnsi="Times New Roman"/>
          <w:sz w:val="24"/>
        </w:rPr>
        <w:t>[</w:t>
      </w:r>
      <w:r>
        <w:rPr>
          <w:rFonts w:ascii="Times New Roman" w:hAnsi="Times New Roman"/>
          <w:strike/>
          <w:sz w:val="24"/>
        </w:rPr>
        <w:t>(5) paga una tarifa de solicitud establecida por la Junta; y</w:t>
      </w:r>
      <w:r>
        <w:rPr>
          <w:rFonts w:ascii="Times New Roman" w:hAnsi="Times New Roman"/>
          <w:sz w:val="24"/>
        </w:rPr>
        <w:t>]</w:t>
      </w:r>
    </w:p>
    <w:p w14:paraId="5496996D" w14:textId="65FE3420" w:rsidR="002D08B2" w:rsidRPr="009A6334" w:rsidRDefault="009A6334" w:rsidP="002D08B2">
      <w:pPr>
        <w:rPr>
          <w:rFonts w:ascii="Times New Roman" w:hAnsi="Times New Roman" w:cs="Times New Roman"/>
          <w:strike/>
          <w:sz w:val="24"/>
          <w:szCs w:val="24"/>
        </w:rPr>
      </w:pPr>
      <w:r>
        <w:rPr>
          <w:rFonts w:ascii="Times New Roman" w:hAnsi="Times New Roman"/>
          <w:sz w:val="24"/>
        </w:rPr>
        <w:t>[</w:t>
      </w:r>
      <w:r>
        <w:rPr>
          <w:rFonts w:ascii="Times New Roman" w:hAnsi="Times New Roman"/>
          <w:strike/>
          <w:sz w:val="24"/>
        </w:rPr>
        <w:t>(6) Ha tomado y aprobado el examen de jurisprudencia administrado por el SBDE o su servicio de pruebas designado.</w:t>
      </w:r>
      <w:r>
        <w:rPr>
          <w:rFonts w:ascii="Times New Roman" w:hAnsi="Times New Roman"/>
          <w:sz w:val="24"/>
        </w:rPr>
        <w:t>]</w:t>
      </w:r>
    </w:p>
    <w:p w14:paraId="0B2F5F7E" w14:textId="26DE0274" w:rsidR="002D08B2" w:rsidRPr="002D08B2" w:rsidRDefault="00B61F78" w:rsidP="002D08B2">
      <w:pPr>
        <w:rPr>
          <w:rFonts w:ascii="Times New Roman" w:hAnsi="Times New Roman" w:cs="Times New Roman"/>
          <w:sz w:val="24"/>
          <w:szCs w:val="24"/>
        </w:rPr>
      </w:pPr>
      <w:r>
        <w:rPr>
          <w:rFonts w:ascii="Times New Roman" w:hAnsi="Times New Roman"/>
          <w:sz w:val="24"/>
        </w:rPr>
        <w:t>[</w:t>
      </w:r>
      <w:r>
        <w:rPr>
          <w:rFonts w:ascii="Times New Roman" w:hAnsi="Times New Roman"/>
          <w:strike/>
          <w:sz w:val="24"/>
        </w:rPr>
        <w:t>(</w:t>
      </w:r>
      <w:r w:rsidR="000E167C">
        <w:rPr>
          <w:rFonts w:ascii="Times New Roman" w:hAnsi="Times New Roman"/>
          <w:strike/>
          <w:sz w:val="24"/>
        </w:rPr>
        <w:t>b</w:t>
      </w:r>
      <w:r>
        <w:rPr>
          <w:rFonts w:ascii="Times New Roman" w:hAnsi="Times New Roman"/>
          <w:strike/>
          <w:sz w:val="24"/>
        </w:rPr>
        <w:t>) Un solicitante de una licencia conforme a este capítulo debe presentar una solicitud para la licencia a más tardar el día 30 después de la fecha en que la persona comienza el empleo en la escuela de higiene dental o dental.</w:t>
      </w:r>
      <w:r>
        <w:rPr>
          <w:rFonts w:ascii="Times New Roman" w:hAnsi="Times New Roman"/>
          <w:sz w:val="24"/>
        </w:rPr>
        <w:t>]</w:t>
      </w:r>
    </w:p>
    <w:p w14:paraId="45E8991B" w14:textId="3187FF2D" w:rsidR="002D08B2" w:rsidRPr="002D08B2" w:rsidRDefault="000E167C" w:rsidP="002D08B2">
      <w:pPr>
        <w:rPr>
          <w:rFonts w:ascii="Times New Roman" w:hAnsi="Times New Roman" w:cs="Times New Roman"/>
          <w:sz w:val="24"/>
          <w:szCs w:val="24"/>
        </w:rPr>
      </w:pPr>
      <w:r>
        <w:rPr>
          <w:rFonts w:ascii="Times New Roman" w:hAnsi="Times New Roman"/>
          <w:sz w:val="24"/>
          <w:u w:val="single"/>
        </w:rPr>
        <w:t>(b</w:t>
      </w:r>
      <w:r w:rsidR="00B61F78">
        <w:rPr>
          <w:rFonts w:ascii="Times New Roman" w:hAnsi="Times New Roman"/>
          <w:sz w:val="24"/>
          <w:u w:val="single"/>
        </w:rPr>
        <w:t>)</w:t>
      </w:r>
      <w:r w:rsidRPr="00A154BA">
        <w:rPr>
          <w:rFonts w:ascii="Times New Roman" w:hAnsi="Times New Roman"/>
          <w:sz w:val="24"/>
        </w:rPr>
        <w:t xml:space="preserve"> </w:t>
      </w:r>
      <w:r w:rsidR="00B61F78">
        <w:rPr>
          <w:rFonts w:ascii="Times New Roman" w:hAnsi="Times New Roman"/>
          <w:sz w:val="24"/>
        </w:rPr>
        <w:t>[</w:t>
      </w:r>
      <w:r w:rsidR="00E85603" w:rsidRPr="00A154BA">
        <w:rPr>
          <w:rFonts w:ascii="Times New Roman" w:hAnsi="Times New Roman"/>
          <w:strike/>
          <w:sz w:val="24"/>
        </w:rPr>
        <w:t>(</w:t>
      </w:r>
      <w:r w:rsidR="00B61F78" w:rsidRPr="00A154BA">
        <w:rPr>
          <w:rFonts w:ascii="Times New Roman" w:hAnsi="Times New Roman"/>
          <w:strike/>
          <w:sz w:val="24"/>
        </w:rPr>
        <w:t>c)</w:t>
      </w:r>
      <w:r w:rsidR="00B61F78">
        <w:rPr>
          <w:rFonts w:ascii="Times New Roman" w:hAnsi="Times New Roman"/>
          <w:sz w:val="24"/>
        </w:rPr>
        <w:t>]</w:t>
      </w:r>
      <w:r>
        <w:rPr>
          <w:rFonts w:ascii="Times New Roman" w:hAnsi="Times New Roman"/>
          <w:sz w:val="24"/>
        </w:rPr>
        <w:t xml:space="preserve"> </w:t>
      </w:r>
      <w:r w:rsidR="00761F43">
        <w:rPr>
          <w:rFonts w:ascii="Times New Roman" w:hAnsi="Times New Roman"/>
          <w:sz w:val="24"/>
        </w:rPr>
        <w:t>[</w:t>
      </w:r>
      <w:r w:rsidR="00B61F78">
        <w:rPr>
          <w:rFonts w:ascii="Times New Roman" w:hAnsi="Times New Roman"/>
          <w:strike/>
          <w:sz w:val="24"/>
        </w:rPr>
        <w:t>La licencia prevista en este capítulo debe renovarse anualmente.</w:t>
      </w:r>
      <w:r w:rsidR="00B61F78">
        <w:rPr>
          <w:rFonts w:ascii="Times New Roman" w:hAnsi="Times New Roman"/>
          <w:sz w:val="24"/>
        </w:rPr>
        <w:t xml:space="preserve">] Después de la renovación </w:t>
      </w:r>
      <w:r w:rsidR="00B61F78">
        <w:rPr>
          <w:rFonts w:ascii="Times New Roman" w:hAnsi="Times New Roman"/>
          <w:sz w:val="24"/>
          <w:u w:val="single"/>
        </w:rPr>
        <w:t>anual</w:t>
      </w:r>
      <w:r w:rsidR="00B61F78">
        <w:rPr>
          <w:rFonts w:ascii="Times New Roman" w:hAnsi="Times New Roman"/>
          <w:sz w:val="24"/>
        </w:rPr>
        <w:t xml:space="preserve">, el titular de la licencia debe presentar un formulario de declaración jurada de empleo completado por el Decano, el </w:t>
      </w:r>
      <w:proofErr w:type="gramStart"/>
      <w:r w:rsidR="00B61F78">
        <w:rPr>
          <w:rFonts w:ascii="Times New Roman" w:hAnsi="Times New Roman"/>
          <w:sz w:val="24"/>
        </w:rPr>
        <w:t>Presidente</w:t>
      </w:r>
      <w:proofErr w:type="gramEnd"/>
      <w:r w:rsidR="00B61F78">
        <w:rPr>
          <w:rFonts w:ascii="Times New Roman" w:hAnsi="Times New Roman"/>
          <w:sz w:val="24"/>
        </w:rPr>
        <w:t xml:space="preserve"> del Departamento o el Director del Programa del empleador-escuela.</w:t>
      </w:r>
    </w:p>
    <w:p w14:paraId="364C1EEF" w14:textId="49551F03" w:rsidR="002D08B2" w:rsidRPr="00B61F78" w:rsidRDefault="00B61F78" w:rsidP="002D08B2">
      <w:pPr>
        <w:rPr>
          <w:rFonts w:ascii="Times New Roman" w:hAnsi="Times New Roman" w:cs="Times New Roman"/>
          <w:strike/>
          <w:sz w:val="24"/>
          <w:szCs w:val="24"/>
        </w:rPr>
      </w:pPr>
      <w:r>
        <w:rPr>
          <w:rFonts w:ascii="Times New Roman" w:hAnsi="Times New Roman"/>
          <w:sz w:val="24"/>
        </w:rPr>
        <w:t>[</w:t>
      </w:r>
      <w:r>
        <w:rPr>
          <w:rFonts w:ascii="Times New Roman" w:hAnsi="Times New Roman"/>
          <w:strike/>
          <w:sz w:val="24"/>
        </w:rPr>
        <w:t>(</w:t>
      </w:r>
      <w:r w:rsidR="000E167C">
        <w:rPr>
          <w:rFonts w:ascii="Times New Roman" w:hAnsi="Times New Roman"/>
          <w:strike/>
          <w:sz w:val="24"/>
        </w:rPr>
        <w:t>d</w:t>
      </w:r>
      <w:r>
        <w:rPr>
          <w:rFonts w:ascii="Times New Roman" w:hAnsi="Times New Roman"/>
          <w:strike/>
          <w:sz w:val="24"/>
        </w:rPr>
        <w:t>) Una licencia emitida conforme a este capítulo vence al finalizar el empleo con la escuela de higiene dental o dental.</w:t>
      </w:r>
      <w:r>
        <w:rPr>
          <w:rFonts w:ascii="Times New Roman" w:hAnsi="Times New Roman"/>
          <w:sz w:val="24"/>
        </w:rPr>
        <w:t>]</w:t>
      </w:r>
    </w:p>
    <w:p w14:paraId="69D188BF" w14:textId="6193A2BC" w:rsidR="002D08B2" w:rsidRPr="00B61F78" w:rsidRDefault="00B61F78" w:rsidP="002D08B2">
      <w:pPr>
        <w:rPr>
          <w:rFonts w:ascii="Times New Roman" w:hAnsi="Times New Roman" w:cs="Times New Roman"/>
          <w:strike/>
          <w:sz w:val="24"/>
          <w:szCs w:val="24"/>
        </w:rPr>
      </w:pPr>
      <w:r>
        <w:rPr>
          <w:rFonts w:ascii="Times New Roman" w:hAnsi="Times New Roman"/>
          <w:sz w:val="24"/>
        </w:rPr>
        <w:t>[</w:t>
      </w:r>
      <w:r w:rsidR="000E167C" w:rsidRPr="00A154BA">
        <w:rPr>
          <w:rFonts w:ascii="Times New Roman" w:hAnsi="Times New Roman"/>
          <w:strike/>
          <w:sz w:val="24"/>
        </w:rPr>
        <w:t>(</w:t>
      </w:r>
      <w:r w:rsidR="000E167C">
        <w:rPr>
          <w:rFonts w:ascii="Times New Roman" w:hAnsi="Times New Roman"/>
          <w:strike/>
          <w:sz w:val="24"/>
        </w:rPr>
        <w:t>e</w:t>
      </w:r>
      <w:r>
        <w:rPr>
          <w:rFonts w:ascii="Times New Roman" w:hAnsi="Times New Roman"/>
          <w:strike/>
          <w:sz w:val="24"/>
        </w:rPr>
        <w:t>) El titular de una licencia cuyo empleo en una escuela de higiene dental o dental finaliza y que posteriormente es empleado de la misma escuela de higiene dental o dental o diferente debe cumplir con los requisitos para obtener una licencia original, excepto que la persona no esté obligada a volver a realizar el examen de jurisprudencia.</w:t>
      </w:r>
      <w:r>
        <w:rPr>
          <w:rFonts w:ascii="Times New Roman" w:hAnsi="Times New Roman"/>
          <w:sz w:val="24"/>
        </w:rPr>
        <w:t>]</w:t>
      </w:r>
    </w:p>
    <w:p w14:paraId="65845E11" w14:textId="7E9D353C" w:rsidR="00944663" w:rsidRPr="00B61F78" w:rsidRDefault="00E85603" w:rsidP="002D08B2">
      <w:pPr>
        <w:rPr>
          <w:rFonts w:ascii="Times New Roman" w:hAnsi="Times New Roman" w:cs="Times New Roman"/>
          <w:strike/>
          <w:sz w:val="24"/>
          <w:szCs w:val="24"/>
        </w:rPr>
      </w:pPr>
      <w:r>
        <w:rPr>
          <w:rFonts w:ascii="Times New Roman" w:hAnsi="Times New Roman"/>
          <w:sz w:val="24"/>
          <w:u w:val="single"/>
        </w:rPr>
        <w:t>(</w:t>
      </w:r>
      <w:r w:rsidR="004223AE">
        <w:rPr>
          <w:rFonts w:ascii="Times New Roman" w:hAnsi="Times New Roman"/>
          <w:sz w:val="24"/>
          <w:u w:val="single"/>
        </w:rPr>
        <w:t>c)</w:t>
      </w:r>
      <w:r w:rsidR="004223AE">
        <w:rPr>
          <w:rFonts w:ascii="Times New Roman" w:hAnsi="Times New Roman"/>
          <w:sz w:val="24"/>
        </w:rPr>
        <w:t xml:space="preserve"> [</w:t>
      </w:r>
      <w:r w:rsidRPr="00A154BA">
        <w:rPr>
          <w:rFonts w:ascii="Times New Roman" w:hAnsi="Times New Roman"/>
          <w:strike/>
          <w:sz w:val="24"/>
        </w:rPr>
        <w:t>(</w:t>
      </w:r>
      <w:r w:rsidR="004223AE" w:rsidRPr="00E85603">
        <w:rPr>
          <w:rFonts w:ascii="Times New Roman" w:hAnsi="Times New Roman"/>
          <w:strike/>
          <w:sz w:val="24"/>
        </w:rPr>
        <w:t>f</w:t>
      </w:r>
      <w:r w:rsidR="004223AE">
        <w:rPr>
          <w:rFonts w:ascii="Times New Roman" w:hAnsi="Times New Roman"/>
          <w:strike/>
          <w:sz w:val="24"/>
        </w:rPr>
        <w:t>)</w:t>
      </w:r>
      <w:r w:rsidR="004223AE">
        <w:rPr>
          <w:rFonts w:ascii="Times New Roman" w:hAnsi="Times New Roman"/>
          <w:sz w:val="24"/>
        </w:rPr>
        <w:t>] Una licencia emitida en virtud del presente capítulo no autoriza al titular de la licencia a participar en la práctica de odontología o higiene dental fuera de los auspicios de la escuela o programa de odontología o higiene dental.</w:t>
      </w:r>
    </w:p>
    <w:sectPr w:rsidR="00944663" w:rsidRPr="00B61F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06CF8"/>
    <w:multiLevelType w:val="hybridMultilevel"/>
    <w:tmpl w:val="7A3E37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263CAD"/>
    <w:multiLevelType w:val="hybridMultilevel"/>
    <w:tmpl w:val="989C0606"/>
    <w:lvl w:ilvl="0" w:tplc="5E264F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B6134F"/>
    <w:multiLevelType w:val="hybridMultilevel"/>
    <w:tmpl w:val="45623872"/>
    <w:lvl w:ilvl="0" w:tplc="044AD600">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 w15:restartNumberingAfterBreak="0">
    <w:nsid w:val="4AC101D0"/>
    <w:multiLevelType w:val="hybridMultilevel"/>
    <w:tmpl w:val="C3BC856C"/>
    <w:lvl w:ilvl="0" w:tplc="7B18DECE">
      <w:start w:val="1"/>
      <w:numFmt w:val="lowerRoman"/>
      <w:lvlText w:val="%1."/>
      <w:lvlJc w:val="right"/>
      <w:pPr>
        <w:ind w:left="720" w:hanging="360"/>
      </w:pPr>
      <w:rPr>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253A13"/>
    <w:multiLevelType w:val="hybridMultilevel"/>
    <w:tmpl w:val="97808D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DC03FD"/>
    <w:multiLevelType w:val="hybridMultilevel"/>
    <w:tmpl w:val="6180CC54"/>
    <w:lvl w:ilvl="0" w:tplc="3B2C5A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7161875">
    <w:abstractNumId w:val="2"/>
  </w:num>
  <w:num w:numId="2" w16cid:durableId="1161889672">
    <w:abstractNumId w:val="5"/>
  </w:num>
  <w:num w:numId="3" w16cid:durableId="1150288205">
    <w:abstractNumId w:val="1"/>
  </w:num>
  <w:num w:numId="4" w16cid:durableId="1454709613">
    <w:abstractNumId w:val="3"/>
  </w:num>
  <w:num w:numId="5" w16cid:durableId="2096124034">
    <w:abstractNumId w:val="4"/>
  </w:num>
  <w:num w:numId="6" w16cid:durableId="1427461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BBD"/>
    <w:rsid w:val="0000070B"/>
    <w:rsid w:val="00006752"/>
    <w:rsid w:val="000242E8"/>
    <w:rsid w:val="000262A7"/>
    <w:rsid w:val="00026B91"/>
    <w:rsid w:val="000322BD"/>
    <w:rsid w:val="00033CF5"/>
    <w:rsid w:val="00044D21"/>
    <w:rsid w:val="00054B7F"/>
    <w:rsid w:val="0005764D"/>
    <w:rsid w:val="00063A73"/>
    <w:rsid w:val="00076D07"/>
    <w:rsid w:val="000878F1"/>
    <w:rsid w:val="000A0599"/>
    <w:rsid w:val="000A1C7D"/>
    <w:rsid w:val="000A32EC"/>
    <w:rsid w:val="000A39F2"/>
    <w:rsid w:val="000B274D"/>
    <w:rsid w:val="000B5325"/>
    <w:rsid w:val="000C5F08"/>
    <w:rsid w:val="000E167C"/>
    <w:rsid w:val="000E42B7"/>
    <w:rsid w:val="000E7DF5"/>
    <w:rsid w:val="000F3007"/>
    <w:rsid w:val="00104706"/>
    <w:rsid w:val="00122B18"/>
    <w:rsid w:val="00147C5A"/>
    <w:rsid w:val="00147FFD"/>
    <w:rsid w:val="00152CEF"/>
    <w:rsid w:val="001566E2"/>
    <w:rsid w:val="0016072B"/>
    <w:rsid w:val="0016410C"/>
    <w:rsid w:val="00170261"/>
    <w:rsid w:val="00171F70"/>
    <w:rsid w:val="001756AF"/>
    <w:rsid w:val="00186156"/>
    <w:rsid w:val="0019556E"/>
    <w:rsid w:val="00197AF8"/>
    <w:rsid w:val="001A0A1E"/>
    <w:rsid w:val="001A28C3"/>
    <w:rsid w:val="001B1402"/>
    <w:rsid w:val="001B20F7"/>
    <w:rsid w:val="001C0539"/>
    <w:rsid w:val="001C2097"/>
    <w:rsid w:val="001C40E8"/>
    <w:rsid w:val="001C74D1"/>
    <w:rsid w:val="001D13A6"/>
    <w:rsid w:val="001D3125"/>
    <w:rsid w:val="001E7778"/>
    <w:rsid w:val="001F01F6"/>
    <w:rsid w:val="001F1F84"/>
    <w:rsid w:val="00200BD6"/>
    <w:rsid w:val="002010FB"/>
    <w:rsid w:val="00202077"/>
    <w:rsid w:val="00205283"/>
    <w:rsid w:val="00216CA1"/>
    <w:rsid w:val="002252B0"/>
    <w:rsid w:val="00230669"/>
    <w:rsid w:val="00231DE9"/>
    <w:rsid w:val="0024514A"/>
    <w:rsid w:val="002553FF"/>
    <w:rsid w:val="002604CF"/>
    <w:rsid w:val="002641FC"/>
    <w:rsid w:val="002648F2"/>
    <w:rsid w:val="00274417"/>
    <w:rsid w:val="00276E23"/>
    <w:rsid w:val="0028586D"/>
    <w:rsid w:val="00291A81"/>
    <w:rsid w:val="00292D96"/>
    <w:rsid w:val="00296591"/>
    <w:rsid w:val="002A5516"/>
    <w:rsid w:val="002A7368"/>
    <w:rsid w:val="002B2D03"/>
    <w:rsid w:val="002B56EF"/>
    <w:rsid w:val="002C0441"/>
    <w:rsid w:val="002C5DD1"/>
    <w:rsid w:val="002D08B2"/>
    <w:rsid w:val="002E0F91"/>
    <w:rsid w:val="002E1F0B"/>
    <w:rsid w:val="002E3B47"/>
    <w:rsid w:val="002E4E96"/>
    <w:rsid w:val="002E6473"/>
    <w:rsid w:val="002F2DC2"/>
    <w:rsid w:val="002F52B0"/>
    <w:rsid w:val="00305F9F"/>
    <w:rsid w:val="00306674"/>
    <w:rsid w:val="0030725D"/>
    <w:rsid w:val="00310B3D"/>
    <w:rsid w:val="00311937"/>
    <w:rsid w:val="003122D4"/>
    <w:rsid w:val="00313E39"/>
    <w:rsid w:val="003223FE"/>
    <w:rsid w:val="003253F2"/>
    <w:rsid w:val="00330211"/>
    <w:rsid w:val="00335CAF"/>
    <w:rsid w:val="00336E81"/>
    <w:rsid w:val="00343EBA"/>
    <w:rsid w:val="00346D9C"/>
    <w:rsid w:val="00352A6B"/>
    <w:rsid w:val="003574B2"/>
    <w:rsid w:val="0036237B"/>
    <w:rsid w:val="0037047E"/>
    <w:rsid w:val="00380CE5"/>
    <w:rsid w:val="00385ECF"/>
    <w:rsid w:val="00386F51"/>
    <w:rsid w:val="003A1DC0"/>
    <w:rsid w:val="003A259D"/>
    <w:rsid w:val="003A6689"/>
    <w:rsid w:val="003A7EEA"/>
    <w:rsid w:val="003B2DF8"/>
    <w:rsid w:val="003C4979"/>
    <w:rsid w:val="003C72AC"/>
    <w:rsid w:val="003C7A4C"/>
    <w:rsid w:val="003E109C"/>
    <w:rsid w:val="003E2C59"/>
    <w:rsid w:val="003E5C9D"/>
    <w:rsid w:val="003F0121"/>
    <w:rsid w:val="0040078C"/>
    <w:rsid w:val="00403D6C"/>
    <w:rsid w:val="004111C7"/>
    <w:rsid w:val="0041347F"/>
    <w:rsid w:val="00416E66"/>
    <w:rsid w:val="004171B1"/>
    <w:rsid w:val="004223AE"/>
    <w:rsid w:val="004254CA"/>
    <w:rsid w:val="004261E0"/>
    <w:rsid w:val="00440570"/>
    <w:rsid w:val="004454E9"/>
    <w:rsid w:val="00451892"/>
    <w:rsid w:val="004655DE"/>
    <w:rsid w:val="00465BBD"/>
    <w:rsid w:val="0047583E"/>
    <w:rsid w:val="00476A97"/>
    <w:rsid w:val="00487D47"/>
    <w:rsid w:val="00490983"/>
    <w:rsid w:val="004A0142"/>
    <w:rsid w:val="004C180D"/>
    <w:rsid w:val="004E331E"/>
    <w:rsid w:val="004E35FE"/>
    <w:rsid w:val="004E5C87"/>
    <w:rsid w:val="00510843"/>
    <w:rsid w:val="00517838"/>
    <w:rsid w:val="005223AC"/>
    <w:rsid w:val="0052741D"/>
    <w:rsid w:val="005278E7"/>
    <w:rsid w:val="00527CEE"/>
    <w:rsid w:val="00531099"/>
    <w:rsid w:val="00531962"/>
    <w:rsid w:val="00531DD4"/>
    <w:rsid w:val="00532434"/>
    <w:rsid w:val="00536B7E"/>
    <w:rsid w:val="00554427"/>
    <w:rsid w:val="005576F5"/>
    <w:rsid w:val="00561AD2"/>
    <w:rsid w:val="00567836"/>
    <w:rsid w:val="00571C31"/>
    <w:rsid w:val="00575A8A"/>
    <w:rsid w:val="00583FD3"/>
    <w:rsid w:val="00594F2B"/>
    <w:rsid w:val="005A10A7"/>
    <w:rsid w:val="005A3911"/>
    <w:rsid w:val="005B0023"/>
    <w:rsid w:val="005B7AB8"/>
    <w:rsid w:val="005C35A4"/>
    <w:rsid w:val="005C3B18"/>
    <w:rsid w:val="005C5920"/>
    <w:rsid w:val="005C7664"/>
    <w:rsid w:val="005E1C28"/>
    <w:rsid w:val="005E1FAB"/>
    <w:rsid w:val="005E5973"/>
    <w:rsid w:val="005F1CE3"/>
    <w:rsid w:val="00611158"/>
    <w:rsid w:val="006149EB"/>
    <w:rsid w:val="00622868"/>
    <w:rsid w:val="006321BD"/>
    <w:rsid w:val="00634379"/>
    <w:rsid w:val="00634CFD"/>
    <w:rsid w:val="0063536D"/>
    <w:rsid w:val="00636A90"/>
    <w:rsid w:val="006377D8"/>
    <w:rsid w:val="0064197C"/>
    <w:rsid w:val="00643D5F"/>
    <w:rsid w:val="00650456"/>
    <w:rsid w:val="006506EF"/>
    <w:rsid w:val="00656D06"/>
    <w:rsid w:val="00666027"/>
    <w:rsid w:val="006700BE"/>
    <w:rsid w:val="00675328"/>
    <w:rsid w:val="00687ADA"/>
    <w:rsid w:val="00697BE7"/>
    <w:rsid w:val="006A7836"/>
    <w:rsid w:val="006B273B"/>
    <w:rsid w:val="006B5603"/>
    <w:rsid w:val="006C76DD"/>
    <w:rsid w:val="006D0841"/>
    <w:rsid w:val="006D2F1E"/>
    <w:rsid w:val="006D45C6"/>
    <w:rsid w:val="006D5105"/>
    <w:rsid w:val="006D5BC2"/>
    <w:rsid w:val="006E21E7"/>
    <w:rsid w:val="006E54AD"/>
    <w:rsid w:val="006F1E2B"/>
    <w:rsid w:val="006F2A4C"/>
    <w:rsid w:val="00704AA5"/>
    <w:rsid w:val="00715C72"/>
    <w:rsid w:val="00725748"/>
    <w:rsid w:val="00725C59"/>
    <w:rsid w:val="00727BE3"/>
    <w:rsid w:val="00741B01"/>
    <w:rsid w:val="00750185"/>
    <w:rsid w:val="00750F9D"/>
    <w:rsid w:val="00752B19"/>
    <w:rsid w:val="00761F43"/>
    <w:rsid w:val="00762C16"/>
    <w:rsid w:val="00765F24"/>
    <w:rsid w:val="00766DF5"/>
    <w:rsid w:val="00767379"/>
    <w:rsid w:val="00771267"/>
    <w:rsid w:val="007916EA"/>
    <w:rsid w:val="007A68FB"/>
    <w:rsid w:val="007B1764"/>
    <w:rsid w:val="007B417D"/>
    <w:rsid w:val="007B4E8C"/>
    <w:rsid w:val="007C1BE2"/>
    <w:rsid w:val="007C3248"/>
    <w:rsid w:val="007C5EE2"/>
    <w:rsid w:val="007C62E5"/>
    <w:rsid w:val="007D29E5"/>
    <w:rsid w:val="007D4D90"/>
    <w:rsid w:val="007D5B91"/>
    <w:rsid w:val="007D7714"/>
    <w:rsid w:val="007F0B4C"/>
    <w:rsid w:val="007F0D84"/>
    <w:rsid w:val="007F1207"/>
    <w:rsid w:val="007F34E2"/>
    <w:rsid w:val="00804D11"/>
    <w:rsid w:val="008126A1"/>
    <w:rsid w:val="008172E8"/>
    <w:rsid w:val="0082435A"/>
    <w:rsid w:val="00831E35"/>
    <w:rsid w:val="00833BB0"/>
    <w:rsid w:val="00836A52"/>
    <w:rsid w:val="00837590"/>
    <w:rsid w:val="00840877"/>
    <w:rsid w:val="00840F41"/>
    <w:rsid w:val="00852781"/>
    <w:rsid w:val="0086519D"/>
    <w:rsid w:val="00874BF3"/>
    <w:rsid w:val="008774A3"/>
    <w:rsid w:val="00881B30"/>
    <w:rsid w:val="00883AE3"/>
    <w:rsid w:val="00893647"/>
    <w:rsid w:val="00893FB7"/>
    <w:rsid w:val="008A5A5E"/>
    <w:rsid w:val="008A743C"/>
    <w:rsid w:val="008B33C9"/>
    <w:rsid w:val="008B6299"/>
    <w:rsid w:val="008C3DD6"/>
    <w:rsid w:val="008D01E7"/>
    <w:rsid w:val="008D6B97"/>
    <w:rsid w:val="008E0C0C"/>
    <w:rsid w:val="008F1CCC"/>
    <w:rsid w:val="008F282B"/>
    <w:rsid w:val="009125E3"/>
    <w:rsid w:val="00912B71"/>
    <w:rsid w:val="0091317E"/>
    <w:rsid w:val="00914B68"/>
    <w:rsid w:val="009247D3"/>
    <w:rsid w:val="00944663"/>
    <w:rsid w:val="00945870"/>
    <w:rsid w:val="00951A62"/>
    <w:rsid w:val="009570B0"/>
    <w:rsid w:val="009622E9"/>
    <w:rsid w:val="00974818"/>
    <w:rsid w:val="00991BFD"/>
    <w:rsid w:val="00992FF6"/>
    <w:rsid w:val="009A05FE"/>
    <w:rsid w:val="009A6334"/>
    <w:rsid w:val="009B07BD"/>
    <w:rsid w:val="009B0E4E"/>
    <w:rsid w:val="009B4063"/>
    <w:rsid w:val="009B60AA"/>
    <w:rsid w:val="009B60EA"/>
    <w:rsid w:val="009C66C4"/>
    <w:rsid w:val="009D0E77"/>
    <w:rsid w:val="009E0989"/>
    <w:rsid w:val="009E6B31"/>
    <w:rsid w:val="009F4198"/>
    <w:rsid w:val="00A0308B"/>
    <w:rsid w:val="00A07096"/>
    <w:rsid w:val="00A154BA"/>
    <w:rsid w:val="00A15C28"/>
    <w:rsid w:val="00A15CEF"/>
    <w:rsid w:val="00A21984"/>
    <w:rsid w:val="00A22A54"/>
    <w:rsid w:val="00A30FF3"/>
    <w:rsid w:val="00A37891"/>
    <w:rsid w:val="00A45E82"/>
    <w:rsid w:val="00A5420A"/>
    <w:rsid w:val="00A56300"/>
    <w:rsid w:val="00A57ABD"/>
    <w:rsid w:val="00A6376E"/>
    <w:rsid w:val="00A722CF"/>
    <w:rsid w:val="00A72FFA"/>
    <w:rsid w:val="00A828A9"/>
    <w:rsid w:val="00A85AA1"/>
    <w:rsid w:val="00A926E3"/>
    <w:rsid w:val="00A972C7"/>
    <w:rsid w:val="00AA3F0D"/>
    <w:rsid w:val="00AB6012"/>
    <w:rsid w:val="00AB67CD"/>
    <w:rsid w:val="00AC11A0"/>
    <w:rsid w:val="00AC4132"/>
    <w:rsid w:val="00AC5B45"/>
    <w:rsid w:val="00AD218F"/>
    <w:rsid w:val="00AE03D3"/>
    <w:rsid w:val="00AE2A72"/>
    <w:rsid w:val="00AE6C18"/>
    <w:rsid w:val="00AE7799"/>
    <w:rsid w:val="00AF538A"/>
    <w:rsid w:val="00B02EF7"/>
    <w:rsid w:val="00B1396B"/>
    <w:rsid w:val="00B22141"/>
    <w:rsid w:val="00B230E5"/>
    <w:rsid w:val="00B330BA"/>
    <w:rsid w:val="00B357C2"/>
    <w:rsid w:val="00B3790C"/>
    <w:rsid w:val="00B61F78"/>
    <w:rsid w:val="00B708FB"/>
    <w:rsid w:val="00B70F15"/>
    <w:rsid w:val="00B84053"/>
    <w:rsid w:val="00B95EF2"/>
    <w:rsid w:val="00BA5F83"/>
    <w:rsid w:val="00BB6A66"/>
    <w:rsid w:val="00BC0AF4"/>
    <w:rsid w:val="00BC3F78"/>
    <w:rsid w:val="00BD5C88"/>
    <w:rsid w:val="00BE4186"/>
    <w:rsid w:val="00BE544F"/>
    <w:rsid w:val="00BE59CB"/>
    <w:rsid w:val="00BE5C00"/>
    <w:rsid w:val="00C15901"/>
    <w:rsid w:val="00C20ABF"/>
    <w:rsid w:val="00C26582"/>
    <w:rsid w:val="00C4226C"/>
    <w:rsid w:val="00C45C88"/>
    <w:rsid w:val="00C45EAC"/>
    <w:rsid w:val="00C502EE"/>
    <w:rsid w:val="00C5127F"/>
    <w:rsid w:val="00C54CCD"/>
    <w:rsid w:val="00C56410"/>
    <w:rsid w:val="00C574FA"/>
    <w:rsid w:val="00C6074A"/>
    <w:rsid w:val="00C6251C"/>
    <w:rsid w:val="00C676F3"/>
    <w:rsid w:val="00C87461"/>
    <w:rsid w:val="00C87FB7"/>
    <w:rsid w:val="00C91729"/>
    <w:rsid w:val="00C9313B"/>
    <w:rsid w:val="00C96851"/>
    <w:rsid w:val="00CA444B"/>
    <w:rsid w:val="00CA454D"/>
    <w:rsid w:val="00CB1069"/>
    <w:rsid w:val="00CC33AC"/>
    <w:rsid w:val="00CD3832"/>
    <w:rsid w:val="00CD384E"/>
    <w:rsid w:val="00CE11EE"/>
    <w:rsid w:val="00CF13D3"/>
    <w:rsid w:val="00CF187D"/>
    <w:rsid w:val="00CF1F70"/>
    <w:rsid w:val="00CF48B1"/>
    <w:rsid w:val="00D07113"/>
    <w:rsid w:val="00D12C28"/>
    <w:rsid w:val="00D17F3C"/>
    <w:rsid w:val="00D212C5"/>
    <w:rsid w:val="00D41505"/>
    <w:rsid w:val="00D43960"/>
    <w:rsid w:val="00D8799F"/>
    <w:rsid w:val="00D9062B"/>
    <w:rsid w:val="00DA1A86"/>
    <w:rsid w:val="00DA633D"/>
    <w:rsid w:val="00DA7638"/>
    <w:rsid w:val="00DC54CE"/>
    <w:rsid w:val="00DD0FCE"/>
    <w:rsid w:val="00DD669C"/>
    <w:rsid w:val="00DF3841"/>
    <w:rsid w:val="00E03276"/>
    <w:rsid w:val="00E03A36"/>
    <w:rsid w:val="00E15F4D"/>
    <w:rsid w:val="00E23BB6"/>
    <w:rsid w:val="00E30C4D"/>
    <w:rsid w:val="00E33263"/>
    <w:rsid w:val="00E4345C"/>
    <w:rsid w:val="00E46928"/>
    <w:rsid w:val="00E53413"/>
    <w:rsid w:val="00E55372"/>
    <w:rsid w:val="00E55A69"/>
    <w:rsid w:val="00E62014"/>
    <w:rsid w:val="00E6334C"/>
    <w:rsid w:val="00E70743"/>
    <w:rsid w:val="00E77830"/>
    <w:rsid w:val="00E8090D"/>
    <w:rsid w:val="00E85603"/>
    <w:rsid w:val="00E87E96"/>
    <w:rsid w:val="00E969E8"/>
    <w:rsid w:val="00E97C9E"/>
    <w:rsid w:val="00EA0B89"/>
    <w:rsid w:val="00EA263F"/>
    <w:rsid w:val="00EA35BF"/>
    <w:rsid w:val="00EB40DF"/>
    <w:rsid w:val="00EC244C"/>
    <w:rsid w:val="00ED052D"/>
    <w:rsid w:val="00EE67AD"/>
    <w:rsid w:val="00EE70A1"/>
    <w:rsid w:val="00EF0CE3"/>
    <w:rsid w:val="00EF24A7"/>
    <w:rsid w:val="00EF6B9F"/>
    <w:rsid w:val="00F06585"/>
    <w:rsid w:val="00F21006"/>
    <w:rsid w:val="00F218EB"/>
    <w:rsid w:val="00F222FD"/>
    <w:rsid w:val="00F25CAB"/>
    <w:rsid w:val="00F334D9"/>
    <w:rsid w:val="00F4162B"/>
    <w:rsid w:val="00F547A6"/>
    <w:rsid w:val="00F57022"/>
    <w:rsid w:val="00F62E83"/>
    <w:rsid w:val="00F9767F"/>
    <w:rsid w:val="00FA0037"/>
    <w:rsid w:val="00FB1345"/>
    <w:rsid w:val="00FB1461"/>
    <w:rsid w:val="00FB6673"/>
    <w:rsid w:val="00FD4EE0"/>
    <w:rsid w:val="00FE214F"/>
    <w:rsid w:val="00FE2969"/>
    <w:rsid w:val="00FE3080"/>
    <w:rsid w:val="00FE3749"/>
    <w:rsid w:val="00FF0336"/>
    <w:rsid w:val="00FF6CA6"/>
  </w:rsids>
  <m:mathPr>
    <m:mathFont m:val="Cambria Math"/>
    <m:brkBin m:val="before"/>
    <m:brkBinSub m:val="--"/>
    <m:smallFrac m:val="0"/>
    <m:dispDef/>
    <m:lMargin m:val="0"/>
    <m:rMargin m:val="0"/>
    <m:defJc m:val="centerGroup"/>
    <m:wrapIndent m:val="1440"/>
    <m:intLim m:val="subSup"/>
    <m:naryLim m:val="undOvr"/>
  </m:mathPr>
  <w:themeFontLang w:val="en-US" w:eastAsia="zh-CN"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C6510"/>
  <w15:chartTrackingRefBased/>
  <w15:docId w15:val="{18577452-F84A-46F0-B833-8FAC04092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5BBD"/>
    <w:pPr>
      <w:ind w:left="720"/>
      <w:contextualSpacing/>
    </w:pPr>
  </w:style>
  <w:style w:type="paragraph" w:styleId="BodyText">
    <w:name w:val="Body Text"/>
    <w:basedOn w:val="Normal"/>
    <w:link w:val="BodyTextChar"/>
    <w:uiPriority w:val="99"/>
    <w:unhideWhenUsed/>
    <w:rsid w:val="00336E81"/>
    <w:pPr>
      <w:spacing w:after="120"/>
    </w:pPr>
  </w:style>
  <w:style w:type="character" w:customStyle="1" w:styleId="BodyTextChar">
    <w:name w:val="Body Text Char"/>
    <w:basedOn w:val="DefaultParagraphFont"/>
    <w:link w:val="BodyText"/>
    <w:uiPriority w:val="99"/>
    <w:rsid w:val="00336E81"/>
  </w:style>
  <w:style w:type="character" w:styleId="Hyperlink">
    <w:name w:val="Hyperlink"/>
    <w:basedOn w:val="DefaultParagraphFont"/>
    <w:uiPriority w:val="99"/>
    <w:unhideWhenUsed/>
    <w:rsid w:val="00336E81"/>
    <w:rPr>
      <w:color w:val="0563C1" w:themeColor="hyperlink"/>
      <w:u w:val="single"/>
    </w:rPr>
  </w:style>
  <w:style w:type="character" w:styleId="UnresolvedMention">
    <w:name w:val="Unresolved Mention"/>
    <w:basedOn w:val="DefaultParagraphFont"/>
    <w:uiPriority w:val="99"/>
    <w:semiHidden/>
    <w:unhideWhenUsed/>
    <w:rsid w:val="00336E81"/>
    <w:rPr>
      <w:color w:val="605E5C"/>
      <w:shd w:val="clear" w:color="auto" w:fill="E1DFDD"/>
    </w:rPr>
  </w:style>
  <w:style w:type="paragraph" w:styleId="BalloonText">
    <w:name w:val="Balloon Text"/>
    <w:basedOn w:val="Normal"/>
    <w:link w:val="BalloonTextChar"/>
    <w:uiPriority w:val="99"/>
    <w:semiHidden/>
    <w:unhideWhenUsed/>
    <w:rsid w:val="005C59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5920"/>
    <w:rPr>
      <w:rFonts w:ascii="Segoe UI" w:hAnsi="Segoe UI" w:cs="Segoe UI"/>
      <w:sz w:val="18"/>
      <w:szCs w:val="18"/>
    </w:rPr>
  </w:style>
  <w:style w:type="paragraph" w:styleId="CommentText">
    <w:name w:val="annotation text"/>
    <w:basedOn w:val="Normal"/>
    <w:link w:val="CommentTextChar"/>
    <w:uiPriority w:val="99"/>
    <w:unhideWhenUsed/>
    <w:rsid w:val="00E969E8"/>
    <w:pPr>
      <w:spacing w:line="240" w:lineRule="auto"/>
    </w:pPr>
    <w:rPr>
      <w:sz w:val="20"/>
      <w:szCs w:val="20"/>
    </w:rPr>
  </w:style>
  <w:style w:type="character" w:customStyle="1" w:styleId="CommentTextChar">
    <w:name w:val="Comment Text Char"/>
    <w:basedOn w:val="DefaultParagraphFont"/>
    <w:link w:val="CommentText"/>
    <w:uiPriority w:val="99"/>
    <w:rsid w:val="00E969E8"/>
    <w:rPr>
      <w:sz w:val="20"/>
      <w:szCs w:val="20"/>
    </w:rPr>
  </w:style>
  <w:style w:type="character" w:styleId="CommentReference">
    <w:name w:val="annotation reference"/>
    <w:basedOn w:val="DefaultParagraphFont"/>
    <w:uiPriority w:val="99"/>
    <w:semiHidden/>
    <w:unhideWhenUsed/>
    <w:rsid w:val="00E969E8"/>
    <w:rPr>
      <w:sz w:val="16"/>
      <w:szCs w:val="16"/>
    </w:rPr>
  </w:style>
  <w:style w:type="paragraph" w:styleId="CommentSubject">
    <w:name w:val="annotation subject"/>
    <w:basedOn w:val="CommentText"/>
    <w:next w:val="CommentText"/>
    <w:link w:val="CommentSubjectChar"/>
    <w:uiPriority w:val="99"/>
    <w:semiHidden/>
    <w:unhideWhenUsed/>
    <w:rsid w:val="00A926E3"/>
    <w:rPr>
      <w:b/>
      <w:bCs/>
    </w:rPr>
  </w:style>
  <w:style w:type="character" w:customStyle="1" w:styleId="CommentSubjectChar">
    <w:name w:val="Comment Subject Char"/>
    <w:basedOn w:val="CommentTextChar"/>
    <w:link w:val="CommentSubject"/>
    <w:uiPriority w:val="99"/>
    <w:semiHidden/>
    <w:rsid w:val="00A926E3"/>
    <w:rPr>
      <w:b/>
      <w:bCs/>
      <w:sz w:val="20"/>
      <w:szCs w:val="20"/>
    </w:rPr>
  </w:style>
  <w:style w:type="paragraph" w:customStyle="1" w:styleId="ydpda298ee3yiv8607751865msonormal">
    <w:name w:val="ydpda298ee3yiv8607751865msonormal"/>
    <w:basedOn w:val="Normal"/>
    <w:uiPriority w:val="99"/>
    <w:rsid w:val="00914B68"/>
    <w:pPr>
      <w:spacing w:before="100" w:beforeAutospacing="1" w:after="100" w:afterAutospacing="1" w:line="240" w:lineRule="auto"/>
    </w:pPr>
    <w:rPr>
      <w:rFonts w:ascii="Calibri" w:hAnsi="Calibri" w:cs="Calibri"/>
    </w:rPr>
  </w:style>
  <w:style w:type="paragraph" w:styleId="NormalWeb">
    <w:name w:val="Normal (Web)"/>
    <w:basedOn w:val="Normal"/>
    <w:uiPriority w:val="99"/>
    <w:semiHidden/>
    <w:unhideWhenUsed/>
    <w:rsid w:val="001F1F84"/>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3A1DC0"/>
    <w:pPr>
      <w:spacing w:after="0" w:line="240" w:lineRule="auto"/>
    </w:pPr>
  </w:style>
  <w:style w:type="paragraph" w:customStyle="1" w:styleId="Default">
    <w:name w:val="Default"/>
    <w:rsid w:val="00CB106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29287">
      <w:bodyDiv w:val="1"/>
      <w:marLeft w:val="0"/>
      <w:marRight w:val="0"/>
      <w:marTop w:val="0"/>
      <w:marBottom w:val="0"/>
      <w:divBdr>
        <w:top w:val="none" w:sz="0" w:space="0" w:color="auto"/>
        <w:left w:val="none" w:sz="0" w:space="0" w:color="auto"/>
        <w:bottom w:val="none" w:sz="0" w:space="0" w:color="auto"/>
        <w:right w:val="none" w:sz="0" w:space="0" w:color="auto"/>
      </w:divBdr>
    </w:div>
    <w:div w:id="48306602">
      <w:bodyDiv w:val="1"/>
      <w:marLeft w:val="0"/>
      <w:marRight w:val="0"/>
      <w:marTop w:val="0"/>
      <w:marBottom w:val="0"/>
      <w:divBdr>
        <w:top w:val="none" w:sz="0" w:space="0" w:color="auto"/>
        <w:left w:val="none" w:sz="0" w:space="0" w:color="auto"/>
        <w:bottom w:val="none" w:sz="0" w:space="0" w:color="auto"/>
        <w:right w:val="none" w:sz="0" w:space="0" w:color="auto"/>
      </w:divBdr>
    </w:div>
    <w:div w:id="101195314">
      <w:bodyDiv w:val="1"/>
      <w:marLeft w:val="0"/>
      <w:marRight w:val="0"/>
      <w:marTop w:val="0"/>
      <w:marBottom w:val="0"/>
      <w:divBdr>
        <w:top w:val="none" w:sz="0" w:space="0" w:color="auto"/>
        <w:left w:val="none" w:sz="0" w:space="0" w:color="auto"/>
        <w:bottom w:val="none" w:sz="0" w:space="0" w:color="auto"/>
        <w:right w:val="none" w:sz="0" w:space="0" w:color="auto"/>
      </w:divBdr>
    </w:div>
    <w:div w:id="107773490">
      <w:bodyDiv w:val="1"/>
      <w:marLeft w:val="0"/>
      <w:marRight w:val="0"/>
      <w:marTop w:val="0"/>
      <w:marBottom w:val="0"/>
      <w:divBdr>
        <w:top w:val="none" w:sz="0" w:space="0" w:color="auto"/>
        <w:left w:val="none" w:sz="0" w:space="0" w:color="auto"/>
        <w:bottom w:val="none" w:sz="0" w:space="0" w:color="auto"/>
        <w:right w:val="none" w:sz="0" w:space="0" w:color="auto"/>
      </w:divBdr>
    </w:div>
    <w:div w:id="159933537">
      <w:bodyDiv w:val="1"/>
      <w:marLeft w:val="0"/>
      <w:marRight w:val="0"/>
      <w:marTop w:val="0"/>
      <w:marBottom w:val="0"/>
      <w:divBdr>
        <w:top w:val="none" w:sz="0" w:space="0" w:color="auto"/>
        <w:left w:val="none" w:sz="0" w:space="0" w:color="auto"/>
        <w:bottom w:val="none" w:sz="0" w:space="0" w:color="auto"/>
        <w:right w:val="none" w:sz="0" w:space="0" w:color="auto"/>
      </w:divBdr>
    </w:div>
    <w:div w:id="161169628">
      <w:bodyDiv w:val="1"/>
      <w:marLeft w:val="0"/>
      <w:marRight w:val="0"/>
      <w:marTop w:val="0"/>
      <w:marBottom w:val="0"/>
      <w:divBdr>
        <w:top w:val="none" w:sz="0" w:space="0" w:color="auto"/>
        <w:left w:val="none" w:sz="0" w:space="0" w:color="auto"/>
        <w:bottom w:val="none" w:sz="0" w:space="0" w:color="auto"/>
        <w:right w:val="none" w:sz="0" w:space="0" w:color="auto"/>
      </w:divBdr>
    </w:div>
    <w:div w:id="215361314">
      <w:bodyDiv w:val="1"/>
      <w:marLeft w:val="0"/>
      <w:marRight w:val="0"/>
      <w:marTop w:val="0"/>
      <w:marBottom w:val="0"/>
      <w:divBdr>
        <w:top w:val="none" w:sz="0" w:space="0" w:color="auto"/>
        <w:left w:val="none" w:sz="0" w:space="0" w:color="auto"/>
        <w:bottom w:val="none" w:sz="0" w:space="0" w:color="auto"/>
        <w:right w:val="none" w:sz="0" w:space="0" w:color="auto"/>
      </w:divBdr>
    </w:div>
    <w:div w:id="222764472">
      <w:bodyDiv w:val="1"/>
      <w:marLeft w:val="0"/>
      <w:marRight w:val="0"/>
      <w:marTop w:val="0"/>
      <w:marBottom w:val="0"/>
      <w:divBdr>
        <w:top w:val="none" w:sz="0" w:space="0" w:color="auto"/>
        <w:left w:val="none" w:sz="0" w:space="0" w:color="auto"/>
        <w:bottom w:val="none" w:sz="0" w:space="0" w:color="auto"/>
        <w:right w:val="none" w:sz="0" w:space="0" w:color="auto"/>
      </w:divBdr>
    </w:div>
    <w:div w:id="265814536">
      <w:bodyDiv w:val="1"/>
      <w:marLeft w:val="0"/>
      <w:marRight w:val="0"/>
      <w:marTop w:val="0"/>
      <w:marBottom w:val="0"/>
      <w:divBdr>
        <w:top w:val="none" w:sz="0" w:space="0" w:color="auto"/>
        <w:left w:val="none" w:sz="0" w:space="0" w:color="auto"/>
        <w:bottom w:val="none" w:sz="0" w:space="0" w:color="auto"/>
        <w:right w:val="none" w:sz="0" w:space="0" w:color="auto"/>
      </w:divBdr>
    </w:div>
    <w:div w:id="328290784">
      <w:bodyDiv w:val="1"/>
      <w:marLeft w:val="0"/>
      <w:marRight w:val="0"/>
      <w:marTop w:val="0"/>
      <w:marBottom w:val="0"/>
      <w:divBdr>
        <w:top w:val="none" w:sz="0" w:space="0" w:color="auto"/>
        <w:left w:val="none" w:sz="0" w:space="0" w:color="auto"/>
        <w:bottom w:val="none" w:sz="0" w:space="0" w:color="auto"/>
        <w:right w:val="none" w:sz="0" w:space="0" w:color="auto"/>
      </w:divBdr>
    </w:div>
    <w:div w:id="341786460">
      <w:bodyDiv w:val="1"/>
      <w:marLeft w:val="0"/>
      <w:marRight w:val="0"/>
      <w:marTop w:val="0"/>
      <w:marBottom w:val="0"/>
      <w:divBdr>
        <w:top w:val="none" w:sz="0" w:space="0" w:color="auto"/>
        <w:left w:val="none" w:sz="0" w:space="0" w:color="auto"/>
        <w:bottom w:val="none" w:sz="0" w:space="0" w:color="auto"/>
        <w:right w:val="none" w:sz="0" w:space="0" w:color="auto"/>
      </w:divBdr>
    </w:div>
    <w:div w:id="397631876">
      <w:bodyDiv w:val="1"/>
      <w:marLeft w:val="0"/>
      <w:marRight w:val="0"/>
      <w:marTop w:val="0"/>
      <w:marBottom w:val="0"/>
      <w:divBdr>
        <w:top w:val="none" w:sz="0" w:space="0" w:color="auto"/>
        <w:left w:val="none" w:sz="0" w:space="0" w:color="auto"/>
        <w:bottom w:val="none" w:sz="0" w:space="0" w:color="auto"/>
        <w:right w:val="none" w:sz="0" w:space="0" w:color="auto"/>
      </w:divBdr>
    </w:div>
    <w:div w:id="413206597">
      <w:bodyDiv w:val="1"/>
      <w:marLeft w:val="0"/>
      <w:marRight w:val="0"/>
      <w:marTop w:val="0"/>
      <w:marBottom w:val="0"/>
      <w:divBdr>
        <w:top w:val="none" w:sz="0" w:space="0" w:color="auto"/>
        <w:left w:val="none" w:sz="0" w:space="0" w:color="auto"/>
        <w:bottom w:val="none" w:sz="0" w:space="0" w:color="auto"/>
        <w:right w:val="none" w:sz="0" w:space="0" w:color="auto"/>
      </w:divBdr>
    </w:div>
    <w:div w:id="436951838">
      <w:bodyDiv w:val="1"/>
      <w:marLeft w:val="0"/>
      <w:marRight w:val="0"/>
      <w:marTop w:val="0"/>
      <w:marBottom w:val="0"/>
      <w:divBdr>
        <w:top w:val="none" w:sz="0" w:space="0" w:color="auto"/>
        <w:left w:val="none" w:sz="0" w:space="0" w:color="auto"/>
        <w:bottom w:val="none" w:sz="0" w:space="0" w:color="auto"/>
        <w:right w:val="none" w:sz="0" w:space="0" w:color="auto"/>
      </w:divBdr>
    </w:div>
    <w:div w:id="454059136">
      <w:bodyDiv w:val="1"/>
      <w:marLeft w:val="0"/>
      <w:marRight w:val="0"/>
      <w:marTop w:val="0"/>
      <w:marBottom w:val="0"/>
      <w:divBdr>
        <w:top w:val="none" w:sz="0" w:space="0" w:color="auto"/>
        <w:left w:val="none" w:sz="0" w:space="0" w:color="auto"/>
        <w:bottom w:val="none" w:sz="0" w:space="0" w:color="auto"/>
        <w:right w:val="none" w:sz="0" w:space="0" w:color="auto"/>
      </w:divBdr>
      <w:divsChild>
        <w:div w:id="1199512558">
          <w:marLeft w:val="0"/>
          <w:marRight w:val="0"/>
          <w:marTop w:val="0"/>
          <w:marBottom w:val="0"/>
          <w:divBdr>
            <w:top w:val="none" w:sz="0" w:space="0" w:color="auto"/>
            <w:left w:val="none" w:sz="0" w:space="0" w:color="auto"/>
            <w:bottom w:val="none" w:sz="0" w:space="0" w:color="auto"/>
            <w:right w:val="none" w:sz="0" w:space="0" w:color="auto"/>
          </w:divBdr>
          <w:divsChild>
            <w:div w:id="18468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759822">
      <w:bodyDiv w:val="1"/>
      <w:marLeft w:val="0"/>
      <w:marRight w:val="0"/>
      <w:marTop w:val="0"/>
      <w:marBottom w:val="0"/>
      <w:divBdr>
        <w:top w:val="none" w:sz="0" w:space="0" w:color="auto"/>
        <w:left w:val="none" w:sz="0" w:space="0" w:color="auto"/>
        <w:bottom w:val="none" w:sz="0" w:space="0" w:color="auto"/>
        <w:right w:val="none" w:sz="0" w:space="0" w:color="auto"/>
      </w:divBdr>
    </w:div>
    <w:div w:id="548494654">
      <w:bodyDiv w:val="1"/>
      <w:marLeft w:val="0"/>
      <w:marRight w:val="0"/>
      <w:marTop w:val="0"/>
      <w:marBottom w:val="0"/>
      <w:divBdr>
        <w:top w:val="none" w:sz="0" w:space="0" w:color="auto"/>
        <w:left w:val="none" w:sz="0" w:space="0" w:color="auto"/>
        <w:bottom w:val="none" w:sz="0" w:space="0" w:color="auto"/>
        <w:right w:val="none" w:sz="0" w:space="0" w:color="auto"/>
      </w:divBdr>
    </w:div>
    <w:div w:id="614095196">
      <w:bodyDiv w:val="1"/>
      <w:marLeft w:val="0"/>
      <w:marRight w:val="0"/>
      <w:marTop w:val="0"/>
      <w:marBottom w:val="0"/>
      <w:divBdr>
        <w:top w:val="none" w:sz="0" w:space="0" w:color="auto"/>
        <w:left w:val="none" w:sz="0" w:space="0" w:color="auto"/>
        <w:bottom w:val="none" w:sz="0" w:space="0" w:color="auto"/>
        <w:right w:val="none" w:sz="0" w:space="0" w:color="auto"/>
      </w:divBdr>
    </w:div>
    <w:div w:id="662510293">
      <w:bodyDiv w:val="1"/>
      <w:marLeft w:val="0"/>
      <w:marRight w:val="0"/>
      <w:marTop w:val="0"/>
      <w:marBottom w:val="0"/>
      <w:divBdr>
        <w:top w:val="none" w:sz="0" w:space="0" w:color="auto"/>
        <w:left w:val="none" w:sz="0" w:space="0" w:color="auto"/>
        <w:bottom w:val="none" w:sz="0" w:space="0" w:color="auto"/>
        <w:right w:val="none" w:sz="0" w:space="0" w:color="auto"/>
      </w:divBdr>
    </w:div>
    <w:div w:id="727581480">
      <w:bodyDiv w:val="1"/>
      <w:marLeft w:val="0"/>
      <w:marRight w:val="0"/>
      <w:marTop w:val="0"/>
      <w:marBottom w:val="0"/>
      <w:divBdr>
        <w:top w:val="none" w:sz="0" w:space="0" w:color="auto"/>
        <w:left w:val="none" w:sz="0" w:space="0" w:color="auto"/>
        <w:bottom w:val="none" w:sz="0" w:space="0" w:color="auto"/>
        <w:right w:val="none" w:sz="0" w:space="0" w:color="auto"/>
      </w:divBdr>
    </w:div>
    <w:div w:id="829176277">
      <w:bodyDiv w:val="1"/>
      <w:marLeft w:val="0"/>
      <w:marRight w:val="0"/>
      <w:marTop w:val="0"/>
      <w:marBottom w:val="0"/>
      <w:divBdr>
        <w:top w:val="none" w:sz="0" w:space="0" w:color="auto"/>
        <w:left w:val="none" w:sz="0" w:space="0" w:color="auto"/>
        <w:bottom w:val="none" w:sz="0" w:space="0" w:color="auto"/>
        <w:right w:val="none" w:sz="0" w:space="0" w:color="auto"/>
      </w:divBdr>
    </w:div>
    <w:div w:id="852885818">
      <w:bodyDiv w:val="1"/>
      <w:marLeft w:val="0"/>
      <w:marRight w:val="0"/>
      <w:marTop w:val="0"/>
      <w:marBottom w:val="0"/>
      <w:divBdr>
        <w:top w:val="none" w:sz="0" w:space="0" w:color="auto"/>
        <w:left w:val="none" w:sz="0" w:space="0" w:color="auto"/>
        <w:bottom w:val="none" w:sz="0" w:space="0" w:color="auto"/>
        <w:right w:val="none" w:sz="0" w:space="0" w:color="auto"/>
      </w:divBdr>
    </w:div>
    <w:div w:id="1063064578">
      <w:bodyDiv w:val="1"/>
      <w:marLeft w:val="0"/>
      <w:marRight w:val="0"/>
      <w:marTop w:val="0"/>
      <w:marBottom w:val="0"/>
      <w:divBdr>
        <w:top w:val="none" w:sz="0" w:space="0" w:color="auto"/>
        <w:left w:val="none" w:sz="0" w:space="0" w:color="auto"/>
        <w:bottom w:val="none" w:sz="0" w:space="0" w:color="auto"/>
        <w:right w:val="none" w:sz="0" w:space="0" w:color="auto"/>
      </w:divBdr>
    </w:div>
    <w:div w:id="1115292750">
      <w:bodyDiv w:val="1"/>
      <w:marLeft w:val="0"/>
      <w:marRight w:val="0"/>
      <w:marTop w:val="0"/>
      <w:marBottom w:val="0"/>
      <w:divBdr>
        <w:top w:val="none" w:sz="0" w:space="0" w:color="auto"/>
        <w:left w:val="none" w:sz="0" w:space="0" w:color="auto"/>
        <w:bottom w:val="none" w:sz="0" w:space="0" w:color="auto"/>
        <w:right w:val="none" w:sz="0" w:space="0" w:color="auto"/>
      </w:divBdr>
    </w:div>
    <w:div w:id="1175337090">
      <w:bodyDiv w:val="1"/>
      <w:marLeft w:val="0"/>
      <w:marRight w:val="0"/>
      <w:marTop w:val="0"/>
      <w:marBottom w:val="0"/>
      <w:divBdr>
        <w:top w:val="none" w:sz="0" w:space="0" w:color="auto"/>
        <w:left w:val="none" w:sz="0" w:space="0" w:color="auto"/>
        <w:bottom w:val="none" w:sz="0" w:space="0" w:color="auto"/>
        <w:right w:val="none" w:sz="0" w:space="0" w:color="auto"/>
      </w:divBdr>
    </w:div>
    <w:div w:id="1215964283">
      <w:bodyDiv w:val="1"/>
      <w:marLeft w:val="0"/>
      <w:marRight w:val="0"/>
      <w:marTop w:val="0"/>
      <w:marBottom w:val="0"/>
      <w:divBdr>
        <w:top w:val="none" w:sz="0" w:space="0" w:color="auto"/>
        <w:left w:val="none" w:sz="0" w:space="0" w:color="auto"/>
        <w:bottom w:val="none" w:sz="0" w:space="0" w:color="auto"/>
        <w:right w:val="none" w:sz="0" w:space="0" w:color="auto"/>
      </w:divBdr>
    </w:div>
    <w:div w:id="1226918607">
      <w:bodyDiv w:val="1"/>
      <w:marLeft w:val="0"/>
      <w:marRight w:val="0"/>
      <w:marTop w:val="0"/>
      <w:marBottom w:val="0"/>
      <w:divBdr>
        <w:top w:val="none" w:sz="0" w:space="0" w:color="auto"/>
        <w:left w:val="none" w:sz="0" w:space="0" w:color="auto"/>
        <w:bottom w:val="none" w:sz="0" w:space="0" w:color="auto"/>
        <w:right w:val="none" w:sz="0" w:space="0" w:color="auto"/>
      </w:divBdr>
    </w:div>
    <w:div w:id="1348023056">
      <w:bodyDiv w:val="1"/>
      <w:marLeft w:val="0"/>
      <w:marRight w:val="0"/>
      <w:marTop w:val="0"/>
      <w:marBottom w:val="0"/>
      <w:divBdr>
        <w:top w:val="none" w:sz="0" w:space="0" w:color="auto"/>
        <w:left w:val="none" w:sz="0" w:space="0" w:color="auto"/>
        <w:bottom w:val="none" w:sz="0" w:space="0" w:color="auto"/>
        <w:right w:val="none" w:sz="0" w:space="0" w:color="auto"/>
      </w:divBdr>
    </w:div>
    <w:div w:id="1359307521">
      <w:bodyDiv w:val="1"/>
      <w:marLeft w:val="0"/>
      <w:marRight w:val="0"/>
      <w:marTop w:val="0"/>
      <w:marBottom w:val="0"/>
      <w:divBdr>
        <w:top w:val="none" w:sz="0" w:space="0" w:color="auto"/>
        <w:left w:val="none" w:sz="0" w:space="0" w:color="auto"/>
        <w:bottom w:val="none" w:sz="0" w:space="0" w:color="auto"/>
        <w:right w:val="none" w:sz="0" w:space="0" w:color="auto"/>
      </w:divBdr>
    </w:div>
    <w:div w:id="1384058853">
      <w:bodyDiv w:val="1"/>
      <w:marLeft w:val="0"/>
      <w:marRight w:val="0"/>
      <w:marTop w:val="0"/>
      <w:marBottom w:val="0"/>
      <w:divBdr>
        <w:top w:val="none" w:sz="0" w:space="0" w:color="auto"/>
        <w:left w:val="none" w:sz="0" w:space="0" w:color="auto"/>
        <w:bottom w:val="none" w:sz="0" w:space="0" w:color="auto"/>
        <w:right w:val="none" w:sz="0" w:space="0" w:color="auto"/>
      </w:divBdr>
    </w:div>
    <w:div w:id="1450930811">
      <w:bodyDiv w:val="1"/>
      <w:marLeft w:val="0"/>
      <w:marRight w:val="0"/>
      <w:marTop w:val="0"/>
      <w:marBottom w:val="0"/>
      <w:divBdr>
        <w:top w:val="none" w:sz="0" w:space="0" w:color="auto"/>
        <w:left w:val="none" w:sz="0" w:space="0" w:color="auto"/>
        <w:bottom w:val="none" w:sz="0" w:space="0" w:color="auto"/>
        <w:right w:val="none" w:sz="0" w:space="0" w:color="auto"/>
      </w:divBdr>
      <w:divsChild>
        <w:div w:id="555707695">
          <w:marLeft w:val="0"/>
          <w:marRight w:val="0"/>
          <w:marTop w:val="0"/>
          <w:marBottom w:val="0"/>
          <w:divBdr>
            <w:top w:val="none" w:sz="0" w:space="0" w:color="auto"/>
            <w:left w:val="none" w:sz="0" w:space="0" w:color="auto"/>
            <w:bottom w:val="none" w:sz="0" w:space="0" w:color="auto"/>
            <w:right w:val="none" w:sz="0" w:space="0" w:color="auto"/>
          </w:divBdr>
          <w:divsChild>
            <w:div w:id="58669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287533">
      <w:bodyDiv w:val="1"/>
      <w:marLeft w:val="0"/>
      <w:marRight w:val="0"/>
      <w:marTop w:val="0"/>
      <w:marBottom w:val="0"/>
      <w:divBdr>
        <w:top w:val="none" w:sz="0" w:space="0" w:color="auto"/>
        <w:left w:val="none" w:sz="0" w:space="0" w:color="auto"/>
        <w:bottom w:val="none" w:sz="0" w:space="0" w:color="auto"/>
        <w:right w:val="none" w:sz="0" w:space="0" w:color="auto"/>
      </w:divBdr>
      <w:divsChild>
        <w:div w:id="1260747950">
          <w:marLeft w:val="0"/>
          <w:marRight w:val="0"/>
          <w:marTop w:val="0"/>
          <w:marBottom w:val="0"/>
          <w:divBdr>
            <w:top w:val="none" w:sz="0" w:space="0" w:color="auto"/>
            <w:left w:val="none" w:sz="0" w:space="0" w:color="auto"/>
            <w:bottom w:val="none" w:sz="0" w:space="0" w:color="auto"/>
            <w:right w:val="none" w:sz="0" w:space="0" w:color="auto"/>
          </w:divBdr>
          <w:divsChild>
            <w:div w:id="58919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859836">
      <w:bodyDiv w:val="1"/>
      <w:marLeft w:val="0"/>
      <w:marRight w:val="0"/>
      <w:marTop w:val="0"/>
      <w:marBottom w:val="0"/>
      <w:divBdr>
        <w:top w:val="none" w:sz="0" w:space="0" w:color="auto"/>
        <w:left w:val="none" w:sz="0" w:space="0" w:color="auto"/>
        <w:bottom w:val="none" w:sz="0" w:space="0" w:color="auto"/>
        <w:right w:val="none" w:sz="0" w:space="0" w:color="auto"/>
      </w:divBdr>
    </w:div>
    <w:div w:id="1661808951">
      <w:bodyDiv w:val="1"/>
      <w:marLeft w:val="0"/>
      <w:marRight w:val="0"/>
      <w:marTop w:val="0"/>
      <w:marBottom w:val="0"/>
      <w:divBdr>
        <w:top w:val="none" w:sz="0" w:space="0" w:color="auto"/>
        <w:left w:val="none" w:sz="0" w:space="0" w:color="auto"/>
        <w:bottom w:val="none" w:sz="0" w:space="0" w:color="auto"/>
        <w:right w:val="none" w:sz="0" w:space="0" w:color="auto"/>
      </w:divBdr>
    </w:div>
    <w:div w:id="1725062248">
      <w:bodyDiv w:val="1"/>
      <w:marLeft w:val="0"/>
      <w:marRight w:val="0"/>
      <w:marTop w:val="0"/>
      <w:marBottom w:val="0"/>
      <w:divBdr>
        <w:top w:val="none" w:sz="0" w:space="0" w:color="auto"/>
        <w:left w:val="none" w:sz="0" w:space="0" w:color="auto"/>
        <w:bottom w:val="none" w:sz="0" w:space="0" w:color="auto"/>
        <w:right w:val="none" w:sz="0" w:space="0" w:color="auto"/>
      </w:divBdr>
    </w:div>
    <w:div w:id="1763181927">
      <w:bodyDiv w:val="1"/>
      <w:marLeft w:val="0"/>
      <w:marRight w:val="0"/>
      <w:marTop w:val="0"/>
      <w:marBottom w:val="0"/>
      <w:divBdr>
        <w:top w:val="none" w:sz="0" w:space="0" w:color="auto"/>
        <w:left w:val="none" w:sz="0" w:space="0" w:color="auto"/>
        <w:bottom w:val="none" w:sz="0" w:space="0" w:color="auto"/>
        <w:right w:val="none" w:sz="0" w:space="0" w:color="auto"/>
      </w:divBdr>
    </w:div>
    <w:div w:id="1775435837">
      <w:bodyDiv w:val="1"/>
      <w:marLeft w:val="0"/>
      <w:marRight w:val="0"/>
      <w:marTop w:val="0"/>
      <w:marBottom w:val="0"/>
      <w:divBdr>
        <w:top w:val="none" w:sz="0" w:space="0" w:color="auto"/>
        <w:left w:val="none" w:sz="0" w:space="0" w:color="auto"/>
        <w:bottom w:val="none" w:sz="0" w:space="0" w:color="auto"/>
        <w:right w:val="none" w:sz="0" w:space="0" w:color="auto"/>
      </w:divBdr>
    </w:div>
    <w:div w:id="1791319760">
      <w:bodyDiv w:val="1"/>
      <w:marLeft w:val="0"/>
      <w:marRight w:val="0"/>
      <w:marTop w:val="0"/>
      <w:marBottom w:val="0"/>
      <w:divBdr>
        <w:top w:val="none" w:sz="0" w:space="0" w:color="auto"/>
        <w:left w:val="none" w:sz="0" w:space="0" w:color="auto"/>
        <w:bottom w:val="none" w:sz="0" w:space="0" w:color="auto"/>
        <w:right w:val="none" w:sz="0" w:space="0" w:color="auto"/>
      </w:divBdr>
    </w:div>
    <w:div w:id="1914461942">
      <w:bodyDiv w:val="1"/>
      <w:marLeft w:val="0"/>
      <w:marRight w:val="0"/>
      <w:marTop w:val="0"/>
      <w:marBottom w:val="0"/>
      <w:divBdr>
        <w:top w:val="none" w:sz="0" w:space="0" w:color="auto"/>
        <w:left w:val="none" w:sz="0" w:space="0" w:color="auto"/>
        <w:bottom w:val="none" w:sz="0" w:space="0" w:color="auto"/>
        <w:right w:val="none" w:sz="0" w:space="0" w:color="auto"/>
      </w:divBdr>
    </w:div>
    <w:div w:id="1915698856">
      <w:bodyDiv w:val="1"/>
      <w:marLeft w:val="0"/>
      <w:marRight w:val="0"/>
      <w:marTop w:val="0"/>
      <w:marBottom w:val="0"/>
      <w:divBdr>
        <w:top w:val="none" w:sz="0" w:space="0" w:color="auto"/>
        <w:left w:val="none" w:sz="0" w:space="0" w:color="auto"/>
        <w:bottom w:val="none" w:sz="0" w:space="0" w:color="auto"/>
        <w:right w:val="none" w:sz="0" w:space="0" w:color="auto"/>
      </w:divBdr>
    </w:div>
    <w:div w:id="1966349121">
      <w:bodyDiv w:val="1"/>
      <w:marLeft w:val="0"/>
      <w:marRight w:val="0"/>
      <w:marTop w:val="0"/>
      <w:marBottom w:val="0"/>
      <w:divBdr>
        <w:top w:val="none" w:sz="0" w:space="0" w:color="auto"/>
        <w:left w:val="none" w:sz="0" w:space="0" w:color="auto"/>
        <w:bottom w:val="none" w:sz="0" w:space="0" w:color="auto"/>
        <w:right w:val="none" w:sz="0" w:space="0" w:color="auto"/>
      </w:divBdr>
    </w:div>
    <w:div w:id="1967076143">
      <w:bodyDiv w:val="1"/>
      <w:marLeft w:val="0"/>
      <w:marRight w:val="0"/>
      <w:marTop w:val="0"/>
      <w:marBottom w:val="0"/>
      <w:divBdr>
        <w:top w:val="none" w:sz="0" w:space="0" w:color="auto"/>
        <w:left w:val="none" w:sz="0" w:space="0" w:color="auto"/>
        <w:bottom w:val="none" w:sz="0" w:space="0" w:color="auto"/>
        <w:right w:val="none" w:sz="0" w:space="0" w:color="auto"/>
      </w:divBdr>
    </w:div>
    <w:div w:id="1984384392">
      <w:bodyDiv w:val="1"/>
      <w:marLeft w:val="0"/>
      <w:marRight w:val="0"/>
      <w:marTop w:val="0"/>
      <w:marBottom w:val="0"/>
      <w:divBdr>
        <w:top w:val="none" w:sz="0" w:space="0" w:color="auto"/>
        <w:left w:val="none" w:sz="0" w:space="0" w:color="auto"/>
        <w:bottom w:val="none" w:sz="0" w:space="0" w:color="auto"/>
        <w:right w:val="none" w:sz="0" w:space="0" w:color="auto"/>
      </w:divBdr>
    </w:div>
    <w:div w:id="2021617261">
      <w:bodyDiv w:val="1"/>
      <w:marLeft w:val="0"/>
      <w:marRight w:val="0"/>
      <w:marTop w:val="0"/>
      <w:marBottom w:val="0"/>
      <w:divBdr>
        <w:top w:val="none" w:sz="0" w:space="0" w:color="auto"/>
        <w:left w:val="none" w:sz="0" w:space="0" w:color="auto"/>
        <w:bottom w:val="none" w:sz="0" w:space="0" w:color="auto"/>
        <w:right w:val="none" w:sz="0" w:space="0" w:color="auto"/>
      </w:divBdr>
    </w:div>
    <w:div w:id="2034570167">
      <w:bodyDiv w:val="1"/>
      <w:marLeft w:val="0"/>
      <w:marRight w:val="0"/>
      <w:marTop w:val="0"/>
      <w:marBottom w:val="0"/>
      <w:divBdr>
        <w:top w:val="none" w:sz="0" w:space="0" w:color="auto"/>
        <w:left w:val="none" w:sz="0" w:space="0" w:color="auto"/>
        <w:bottom w:val="none" w:sz="0" w:space="0" w:color="auto"/>
        <w:right w:val="none" w:sz="0" w:space="0" w:color="auto"/>
      </w:divBdr>
    </w:div>
    <w:div w:id="2098135578">
      <w:bodyDiv w:val="1"/>
      <w:marLeft w:val="0"/>
      <w:marRight w:val="0"/>
      <w:marTop w:val="0"/>
      <w:marBottom w:val="0"/>
      <w:divBdr>
        <w:top w:val="none" w:sz="0" w:space="0" w:color="auto"/>
        <w:left w:val="none" w:sz="0" w:space="0" w:color="auto"/>
        <w:bottom w:val="none" w:sz="0" w:space="0" w:color="auto"/>
        <w:right w:val="none" w:sz="0" w:space="0" w:color="auto"/>
      </w:divBdr>
    </w:div>
    <w:div w:id="213813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07DCEE-28F7-4B9C-AA68-95FBB8F4C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TotalTime>
  <Pages>3</Pages>
  <Words>1185</Words>
  <Characters>6761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Studdard</dc:creator>
  <cp:keywords/>
  <dc:description/>
  <cp:lastModifiedBy>Aitana Rufete Sala</cp:lastModifiedBy>
  <cp:revision>48</cp:revision>
  <dcterms:created xsi:type="dcterms:W3CDTF">2025-07-14T15:24:00Z</dcterms:created>
  <dcterms:modified xsi:type="dcterms:W3CDTF">2026-07-13T23:17:00Z</dcterms:modified>
</cp:coreProperties>
</file>