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0C817" w14:textId="3AC17873" w:rsidR="002B24D6" w:rsidRDefault="002B24D6" w:rsidP="00527E13">
      <w:pPr>
        <w:spacing w:after="0" w:line="240" w:lineRule="auto"/>
        <w:jc w:val="both"/>
        <w:rPr>
          <w:sz w:val="24"/>
          <w:szCs w:val="24"/>
          <w:rFonts w:ascii="Times New Roman" w:eastAsia="Times New Roman" w:hAnsi="Times New Roman" w:cs="Times New Roman"/>
        </w:rPr>
      </w:pPr>
      <w:r>
        <w:rPr>
          <w:sz w:val="24"/>
          <w:rFonts w:ascii="Times New Roman" w:hAnsi="Times New Roman"/>
        </w:rPr>
        <w:t xml:space="preserve">La Junta Estatal de Odontólogos (Junta) propone esta enmienda a la regla 22 TAC §117.2, relativa a la obtención de una licencia de personal académico de odontología.</w:t>
      </w:r>
      <w:r>
        <w:rPr>
          <w:sz w:val="24"/>
          <w:rFonts w:ascii="Times New Roman" w:hAnsi="Times New Roman"/>
        </w:rPr>
        <w:t xml:space="preserve"> </w:t>
      </w:r>
      <w:r>
        <w:rPr>
          <w:sz w:val="24"/>
          <w:rFonts w:ascii="Times New Roman" w:hAnsi="Times New Roman"/>
        </w:rPr>
        <w:t xml:space="preserve">La enmienda propuesta requiere ciertos documentos de identificación personal que un solicitante debe presentar en una solicitud inicial y solicitud de renovación de una licencia de personal académico de odontología.</w:t>
      </w:r>
      <w:r>
        <w:rPr>
          <w:sz w:val="24"/>
          <w:rFonts w:ascii="Times New Roman" w:hAnsi="Times New Roman"/>
        </w:rPr>
        <w:t xml:space="preserve"> </w:t>
      </w:r>
      <w:r>
        <w:rPr>
          <w:sz w:val="24"/>
          <w:rFonts w:ascii="Times New Roman" w:hAnsi="Times New Roman"/>
        </w:rPr>
        <w:t xml:space="preserve">La enmienda propuesta es necesaria para garantizar que el documento de identificación personal del solicitante sea válido y que el solicitante sea legalmente elegible para ejercer como personal académico de odontología en Texas.</w:t>
      </w:r>
      <w:r>
        <w:rPr>
          <w:sz w:val="24"/>
          <w:rFonts w:ascii="Times New Roman" w:hAnsi="Times New Roman"/>
        </w:rPr>
        <w:t xml:space="preserve"> </w:t>
      </w:r>
      <w:r>
        <w:rPr>
          <w:sz w:val="24"/>
          <w:rFonts w:ascii="Times New Roman" w:hAnsi="Times New Roman"/>
        </w:rPr>
        <w:t xml:space="preserve">La enmienda propuesta requeriría que los solicitantes presenten documentación apropiada que verifique su presencia legal y autorización de trabajo antes de que se emita una licencia de personal académico de odontología.</w:t>
      </w:r>
    </w:p>
    <w:p w14:paraId="74713DCE" w14:textId="77777777" w:rsidR="00994435" w:rsidRPr="002B24D6" w:rsidRDefault="00994435" w:rsidP="00527E13">
      <w:pPr>
        <w:spacing w:after="0" w:line="240" w:lineRule="auto"/>
        <w:jc w:val="both"/>
        <w:rPr>
          <w:rFonts w:ascii="Times New Roman" w:eastAsia="Times New Roman" w:hAnsi="Times New Roman" w:cs="Times New Roman"/>
          <w:sz w:val="24"/>
          <w:szCs w:val="24"/>
        </w:rPr>
      </w:pPr>
    </w:p>
    <w:p w14:paraId="0AB0F6FA" w14:textId="77777777" w:rsidR="002B24D6" w:rsidRDefault="002B24D6" w:rsidP="00527E13">
      <w:pPr>
        <w:spacing w:after="0" w:line="240" w:lineRule="auto"/>
        <w:jc w:val="both"/>
        <w:rPr>
          <w:sz w:val="24"/>
          <w:szCs w:val="24"/>
          <w:rFonts w:ascii="Times New Roman" w:eastAsia="Times New Roman" w:hAnsi="Times New Roman" w:cs="Times New Roman"/>
        </w:rPr>
      </w:pPr>
      <w:r>
        <w:rPr>
          <w:sz w:val="24"/>
          <w:rFonts w:ascii="Times New Roman" w:hAnsi="Times New Roman"/>
        </w:rPr>
        <w:t xml:space="preserve">NOTA FISCAL:</w:t>
      </w:r>
      <w:r>
        <w:rPr>
          <w:sz w:val="24"/>
          <w:rFonts w:ascii="Times New Roman" w:hAnsi="Times New Roman"/>
        </w:rPr>
        <w:t xml:space="preserve"> </w:t>
      </w:r>
      <w:r>
        <w:rPr>
          <w:sz w:val="24"/>
          <w:rFonts w:ascii="Times New Roman" w:hAnsi="Times New Roman"/>
        </w:rPr>
        <w:t xml:space="preserve">Casey Nichols, Directora Ejecutiva, ha determinado que en el primer período de cinco años en que esté vigente la regla propuesta, la regla propuesta no tenga implicancias previsibles relativas a costos o rentas de los gobiernos estatal o local.</w:t>
      </w:r>
      <w:r>
        <w:rPr>
          <w:sz w:val="24"/>
          <w:rFonts w:ascii="Times New Roman" w:hAnsi="Times New Roman"/>
        </w:rPr>
        <w:t xml:space="preserve"> </w:t>
      </w:r>
    </w:p>
    <w:p w14:paraId="6C2633E0" w14:textId="77777777" w:rsidR="00994435" w:rsidRPr="002B24D6" w:rsidRDefault="00994435" w:rsidP="00527E13">
      <w:pPr>
        <w:spacing w:after="0" w:line="240" w:lineRule="auto"/>
        <w:jc w:val="both"/>
        <w:rPr>
          <w:rFonts w:ascii="Times New Roman" w:eastAsia="Times New Roman" w:hAnsi="Times New Roman" w:cs="Times New Roman"/>
          <w:sz w:val="24"/>
          <w:szCs w:val="24"/>
        </w:rPr>
      </w:pPr>
    </w:p>
    <w:p w14:paraId="04786DA3" w14:textId="0834F21C" w:rsidR="002B24D6" w:rsidRDefault="002B24D6" w:rsidP="00527E13">
      <w:pPr>
        <w:spacing w:after="0" w:line="240" w:lineRule="auto"/>
        <w:jc w:val="both"/>
        <w:rPr>
          <w:sz w:val="24"/>
          <w:szCs w:val="24"/>
          <w:rFonts w:ascii="Times New Roman" w:eastAsia="Times New Roman" w:hAnsi="Times New Roman" w:cs="Times New Roman"/>
        </w:rPr>
      </w:pPr>
      <w:r>
        <w:rPr>
          <w:sz w:val="24"/>
          <w:rFonts w:ascii="Times New Roman" w:hAnsi="Times New Roman"/>
        </w:rPr>
        <w:t xml:space="preserve">NOTA PÚBLICA DE COSTOS Y BENEFICIOS:</w:t>
      </w:r>
      <w:r>
        <w:rPr>
          <w:sz w:val="24"/>
          <w:rFonts w:ascii="Times New Roman" w:hAnsi="Times New Roman"/>
        </w:rPr>
        <w:t xml:space="preserve"> </w:t>
      </w:r>
      <w:r>
        <w:rPr>
          <w:sz w:val="24"/>
          <w:rFonts w:ascii="Times New Roman" w:hAnsi="Times New Roman"/>
        </w:rPr>
        <w:t xml:space="preserve">Casey Nichols también ha determinado que para el primer período de cinco años en que la regla propuesta esté vigente, el beneficio público esperado como resultado de la regla propuesta será una reducción en el riesgo de fraude en solicitudes de licencia, y la garantía de que ningún licenciatario esté ejerciendo en Texas sin autorización legal para trabajar o residir en Texas.</w:t>
      </w:r>
    </w:p>
    <w:p w14:paraId="5C1110DD" w14:textId="77777777" w:rsidR="00365011" w:rsidRPr="002B24D6" w:rsidRDefault="00365011" w:rsidP="00527E13">
      <w:pPr>
        <w:spacing w:after="0" w:line="240" w:lineRule="auto"/>
        <w:jc w:val="both"/>
        <w:rPr>
          <w:rFonts w:ascii="Times New Roman" w:eastAsia="Times New Roman" w:hAnsi="Times New Roman" w:cs="Times New Roman"/>
          <w:sz w:val="24"/>
          <w:szCs w:val="24"/>
        </w:rPr>
      </w:pPr>
    </w:p>
    <w:p w14:paraId="1B12B952" w14:textId="77777777" w:rsidR="002B24D6" w:rsidRPr="002B24D6" w:rsidRDefault="002B24D6" w:rsidP="00527E13">
      <w:pPr>
        <w:spacing w:after="0" w:line="240" w:lineRule="auto"/>
        <w:jc w:val="both"/>
        <w:rPr>
          <w:sz w:val="24"/>
          <w:szCs w:val="24"/>
          <w:rFonts w:ascii="Times New Roman" w:eastAsia="Times New Roman" w:hAnsi="Times New Roman" w:cs="Times New Roman"/>
        </w:rPr>
      </w:pPr>
      <w:r>
        <w:rPr>
          <w:sz w:val="24"/>
          <w:rFonts w:ascii="Times New Roman" w:hAnsi="Times New Roman"/>
        </w:rPr>
        <w:t xml:space="preserve">DECLARACIÓN DE IMPACTO SOBRE EL EMPLEO LOCAL:</w:t>
      </w:r>
      <w:r>
        <w:rPr>
          <w:sz w:val="24"/>
          <w:rFonts w:ascii="Times New Roman" w:hAnsi="Times New Roman"/>
        </w:rPr>
        <w:t xml:space="preserve"> </w:t>
      </w:r>
      <w:r>
        <w:rPr>
          <w:sz w:val="24"/>
          <w:rFonts w:ascii="Times New Roman" w:hAnsi="Times New Roman"/>
        </w:rPr>
        <w:t xml:space="preserve">Casey Nichols también ha determinado que la regla propuesta no afecta las economías y el empleo locales.</w:t>
      </w:r>
      <w:r>
        <w:rPr>
          <w:sz w:val="24"/>
          <w:rFonts w:ascii="Times New Roman" w:hAnsi="Times New Roman"/>
        </w:rPr>
        <w:t xml:space="preserve"> </w:t>
      </w:r>
    </w:p>
    <w:p w14:paraId="385C2D9F" w14:textId="77777777" w:rsidR="002B24D6" w:rsidRPr="002B24D6" w:rsidRDefault="002B24D6" w:rsidP="00527E13">
      <w:pPr>
        <w:spacing w:after="0" w:line="240" w:lineRule="auto"/>
        <w:jc w:val="both"/>
        <w:rPr>
          <w:rFonts w:ascii="Times New Roman" w:eastAsia="Times New Roman" w:hAnsi="Times New Roman" w:cs="Times New Roman"/>
          <w:sz w:val="24"/>
          <w:szCs w:val="24"/>
        </w:rPr>
      </w:pPr>
    </w:p>
    <w:p w14:paraId="434EF465" w14:textId="77777777" w:rsidR="002B24D6" w:rsidRPr="002B24D6" w:rsidRDefault="002B24D6" w:rsidP="00527E13">
      <w:pPr>
        <w:spacing w:after="0" w:line="240" w:lineRule="auto"/>
        <w:jc w:val="both"/>
        <w:rPr>
          <w:sz w:val="24"/>
          <w:szCs w:val="24"/>
          <w:rFonts w:ascii="Times New Roman" w:eastAsia="Times New Roman" w:hAnsi="Times New Roman" w:cs="Times New Roman"/>
        </w:rPr>
      </w:pPr>
      <w:r>
        <w:rPr>
          <w:sz w:val="24"/>
          <w:rFonts w:ascii="Times New Roman" w:hAnsi="Times New Roman"/>
        </w:rPr>
        <w:t xml:space="preserve">DECLARACIÓN DE IMPACTO SOBRE LAS PEQUEÑAS Y MICRO EMPRESAS Y LA COMUNIDAD RURAL:</w:t>
      </w:r>
      <w:r>
        <w:rPr>
          <w:sz w:val="24"/>
          <w:rFonts w:ascii="Times New Roman" w:hAnsi="Times New Roman"/>
        </w:rPr>
        <w:t xml:space="preserve"> </w:t>
      </w:r>
      <w:r>
        <w:rPr>
          <w:sz w:val="24"/>
          <w:rFonts w:ascii="Times New Roman" w:hAnsi="Times New Roman"/>
        </w:rPr>
        <w:t xml:space="preserve">Casey Nichols ha determinado que no se requiere una declaración de impacto económico y análisis de flexibilidad normativa para pequeñas empresas, microempresas y comunidades rurales para esta regla propuesta.</w:t>
      </w:r>
      <w:r>
        <w:rPr>
          <w:sz w:val="24"/>
          <w:rFonts w:ascii="Times New Roman" w:hAnsi="Times New Roman"/>
        </w:rPr>
        <w:t xml:space="preserve"> </w:t>
      </w:r>
    </w:p>
    <w:p w14:paraId="4702930B" w14:textId="77777777" w:rsidR="002B24D6" w:rsidRPr="002B24D6" w:rsidRDefault="002B24D6" w:rsidP="00527E13">
      <w:pPr>
        <w:spacing w:after="0" w:line="240" w:lineRule="auto"/>
        <w:jc w:val="both"/>
        <w:rPr>
          <w:rFonts w:ascii="Times New Roman" w:eastAsia="Times New Roman" w:hAnsi="Times New Roman" w:cs="Times New Roman"/>
          <w:sz w:val="24"/>
          <w:szCs w:val="24"/>
        </w:rPr>
      </w:pPr>
    </w:p>
    <w:p w14:paraId="48CFEA5B" w14:textId="654F38A2" w:rsidR="002B24D6" w:rsidRPr="002B24D6" w:rsidRDefault="002B24D6" w:rsidP="00527E13">
      <w:pPr>
        <w:spacing w:after="0" w:line="240" w:lineRule="auto"/>
        <w:jc w:val="both"/>
        <w:rPr>
          <w:sz w:val="24"/>
          <w:szCs w:val="24"/>
          <w:rFonts w:ascii="Times New Roman" w:eastAsia="Times New Roman" w:hAnsi="Times New Roman" w:cs="Times New Roman"/>
        </w:rPr>
      </w:pPr>
      <w:r>
        <w:rPr>
          <w:sz w:val="24"/>
          <w:rFonts w:ascii="Times New Roman" w:hAnsi="Times New Roman"/>
        </w:rPr>
        <w:t xml:space="preserve">DECLARACIÓN DE IMPACTO SOBRE EL CRECIMIENTO DEL GOBIERNO:</w:t>
      </w:r>
      <w:r>
        <w:rPr>
          <w:sz w:val="24"/>
          <w:rFonts w:ascii="Times New Roman" w:hAnsi="Times New Roman"/>
        </w:rPr>
        <w:t xml:space="preserve"> </w:t>
      </w:r>
      <w:r>
        <w:rPr>
          <w:sz w:val="24"/>
          <w:rFonts w:ascii="Times New Roman" w:hAnsi="Times New Roman"/>
        </w:rPr>
        <w:t xml:space="preserve">La Junta ha determinado que, durante el primer período de cinco años en que esté vigente la regla, se aplicarían los siguientes efectos sobre el crecimiento gubernamental:</w:t>
      </w:r>
      <w:r>
        <w:rPr>
          <w:sz w:val="24"/>
          <w:rFonts w:ascii="Times New Roman" w:hAnsi="Times New Roman"/>
        </w:rPr>
        <w:t xml:space="preserve"> </w:t>
      </w:r>
      <w:r>
        <w:rPr>
          <w:sz w:val="24"/>
          <w:rFonts w:ascii="Times New Roman" w:hAnsi="Times New Roman"/>
        </w:rPr>
        <w:t xml:space="preserve">(1) la regla propuesta no crea ni elimina un programa gubernamental; (2) la aplicación de la regla propuesta no requiere la creación o eliminación de puestos de empleados; (3) la aplicación de la regla propuesta no requiere un aumento o disminución de las apropiaciones futuras; (4) la regla propuesta no requiere un aumento de las tasas pagadas a la agencia; (5) la regla propuesta crea un nuevo reglamento; (6) la regla propuesta no limita un reglamento existente; (7) la regla propuesta no aumenta ni disminuye el número de personas sujetas a ella; y (8) la regla propuesta no afecta positiva o negativamente a la economía del estado.</w:t>
      </w:r>
      <w:r>
        <w:rPr>
          <w:sz w:val="24"/>
          <w:rFonts w:ascii="Times New Roman" w:hAnsi="Times New Roman"/>
        </w:rPr>
        <w:t xml:space="preserve"> </w:t>
      </w:r>
    </w:p>
    <w:p w14:paraId="6B5E8B55" w14:textId="77777777" w:rsidR="002B24D6" w:rsidRPr="002B24D6" w:rsidRDefault="002B24D6" w:rsidP="00527E13">
      <w:pPr>
        <w:spacing w:after="0" w:line="240" w:lineRule="auto"/>
        <w:jc w:val="both"/>
        <w:rPr>
          <w:rFonts w:ascii="Times New Roman" w:eastAsia="Times New Roman" w:hAnsi="Times New Roman" w:cs="Times New Roman"/>
          <w:sz w:val="24"/>
          <w:szCs w:val="24"/>
        </w:rPr>
      </w:pPr>
    </w:p>
    <w:p w14:paraId="251439C3" w14:textId="77777777" w:rsidR="002B24D6" w:rsidRPr="002B24D6" w:rsidRDefault="002B24D6" w:rsidP="00527E13">
      <w:pPr>
        <w:spacing w:after="0" w:line="240" w:lineRule="auto"/>
        <w:jc w:val="both"/>
        <w:rPr>
          <w:sz w:val="24"/>
          <w:szCs w:val="24"/>
          <w:rFonts w:ascii="Times New Roman" w:eastAsia="Times New Roman" w:hAnsi="Times New Roman" w:cs="Times New Roman"/>
        </w:rPr>
      </w:pPr>
      <w:r>
        <w:rPr>
          <w:sz w:val="24"/>
          <w:rFonts w:ascii="Times New Roman" w:hAnsi="Times New Roman"/>
        </w:rPr>
        <w:t xml:space="preserve">Se pueden enviar comentarios sobre la regla propuesta a Casey Nichols, Directora Ejecutiva, a 1801 Congress Avenue, Suite 8.600, Austin, Texas 78701, por fax al (512) 649-2482, o por correo electrónico a official_rules_comments@tsbde.texas.gov durante 30 días luego de la fecha de publicación de la regla propuesta en el Registro de Texas.</w:t>
      </w:r>
      <w:r>
        <w:rPr>
          <w:sz w:val="24"/>
          <w:rFonts w:ascii="Times New Roman" w:hAnsi="Times New Roman"/>
        </w:rPr>
        <w:t xml:space="preserve"> </w:t>
      </w:r>
      <w:r>
        <w:rPr>
          <w:sz w:val="24"/>
          <w:rFonts w:ascii="Times New Roman" w:hAnsi="Times New Roman"/>
        </w:rPr>
        <w:t xml:space="preserve">Para que se tenga en cuenta a fines de esta creación de reglas, los comentarios deben:</w:t>
      </w:r>
      <w:r>
        <w:rPr>
          <w:sz w:val="24"/>
          <w:rFonts w:ascii="Times New Roman" w:hAnsi="Times New Roman"/>
        </w:rPr>
        <w:t xml:space="preserve"> </w:t>
      </w:r>
      <w:r>
        <w:rPr>
          <w:sz w:val="24"/>
          <w:rFonts w:ascii="Times New Roman" w:hAnsi="Times New Roman"/>
        </w:rPr>
        <w:t xml:space="preserve">(1) tener sello postal o enviarse antes del último día del período de comentarios; o (2) enviarse por fax o correo electrónico antes de la medianoche del último día del período de comentarios.</w:t>
      </w:r>
      <w:r>
        <w:rPr>
          <w:sz w:val="24"/>
          <w:rFonts w:ascii="Times New Roman" w:hAnsi="Times New Roman"/>
        </w:rPr>
        <w:t xml:space="preserve"> </w:t>
      </w:r>
    </w:p>
    <w:p w14:paraId="13F8A750" w14:textId="77777777" w:rsidR="002B24D6" w:rsidRPr="002B24D6" w:rsidRDefault="002B24D6" w:rsidP="00527E13">
      <w:pPr>
        <w:spacing w:after="0" w:line="240" w:lineRule="auto"/>
        <w:jc w:val="both"/>
        <w:rPr>
          <w:rFonts w:ascii="Times New Roman" w:eastAsia="Times New Roman" w:hAnsi="Times New Roman" w:cs="Times New Roman"/>
          <w:sz w:val="24"/>
          <w:szCs w:val="24"/>
        </w:rPr>
      </w:pPr>
    </w:p>
    <w:p w14:paraId="453767C0" w14:textId="77777777" w:rsidR="002B24D6" w:rsidRDefault="002B24D6" w:rsidP="00527E13">
      <w:pPr>
        <w:spacing w:after="0" w:line="240" w:lineRule="auto"/>
        <w:jc w:val="both"/>
        <w:rPr>
          <w:sz w:val="24"/>
          <w:szCs w:val="24"/>
          <w:rFonts w:ascii="Times New Roman" w:eastAsia="Times New Roman" w:hAnsi="Times New Roman" w:cs="Times New Roman"/>
        </w:rPr>
      </w:pPr>
      <w:r>
        <w:rPr>
          <w:sz w:val="24"/>
          <w:rFonts w:ascii="Times New Roman" w:hAnsi="Times New Roman"/>
        </w:rPr>
        <w:t xml:space="preserve">Esta regla se propone conforme al Artículo 254.001(a) del Código de Ocupaciones de Texas, que reviste a la Junta de autoridad para adoptar reglas necesarias para realizar sus tareas y garantizar el cumplimiento de las leyes estatales con respecto a la práctica de la odontología en un ámbito profesional para proteger la salud pública y la seguridad.</w:t>
      </w:r>
    </w:p>
    <w:p w14:paraId="6C3F0529" w14:textId="77777777" w:rsidR="002D2739" w:rsidRDefault="002D2739" w:rsidP="00527E13">
      <w:pPr>
        <w:spacing w:after="0" w:line="240" w:lineRule="auto"/>
        <w:jc w:val="both"/>
        <w:rPr>
          <w:rFonts w:ascii="Times New Roman" w:eastAsia="Times New Roman" w:hAnsi="Times New Roman" w:cs="Times New Roman"/>
          <w:sz w:val="24"/>
          <w:szCs w:val="24"/>
        </w:rPr>
      </w:pPr>
    </w:p>
    <w:p w14:paraId="076CD1BB" w14:textId="064991D6" w:rsidR="002D2739" w:rsidRPr="002B24D6" w:rsidRDefault="002D2739" w:rsidP="00527E13">
      <w:pPr>
        <w:spacing w:after="0" w:line="240" w:lineRule="auto"/>
        <w:jc w:val="both"/>
        <w:rPr>
          <w:sz w:val="24"/>
          <w:szCs w:val="24"/>
          <w:rFonts w:ascii="Times New Roman" w:eastAsia="Times New Roman" w:hAnsi="Times New Roman" w:cs="Times New Roman"/>
        </w:rPr>
      </w:pPr>
      <w:r>
        <w:rPr>
          <w:sz w:val="24"/>
          <w:rFonts w:ascii="Times New Roman" w:hAnsi="Times New Roman"/>
        </w:rPr>
        <w:t xml:space="preserve">Referencia cruzada con la ley:</w:t>
      </w:r>
      <w:r>
        <w:rPr>
          <w:sz w:val="24"/>
          <w:rFonts w:ascii="Times New Roman" w:hAnsi="Times New Roman"/>
        </w:rPr>
        <w:t xml:space="preserve"> </w:t>
      </w:r>
      <w:r>
        <w:rPr>
          <w:sz w:val="24"/>
          <w:rFonts w:ascii="Times New Roman" w:hAnsi="Times New Roman"/>
        </w:rPr>
        <w:t xml:space="preserve">Código de Ocupaciones de Texas, Art. 254.001(a).</w:t>
      </w:r>
      <w:r>
        <w:rPr>
          <w:sz w:val="24"/>
          <w:rFonts w:ascii="Times New Roman" w:hAnsi="Times New Roman"/>
        </w:rPr>
        <w:t xml:space="preserve"> </w:t>
      </w:r>
      <w:r>
        <w:rPr>
          <w:sz w:val="24"/>
          <w:rFonts w:ascii="Times New Roman" w:hAnsi="Times New Roman"/>
        </w:rPr>
        <w:t xml:space="preserve">Título 8, Art. 1621 del Código de Estados Unidos.</w:t>
      </w:r>
      <w:r>
        <w:rPr>
          <w:sz w:val="24"/>
          <w:rFonts w:ascii="Times New Roman" w:hAnsi="Times New Roman"/>
        </w:rPr>
        <w:t xml:space="preserve"> </w:t>
      </w:r>
    </w:p>
    <w:p w14:paraId="41ABBA67" w14:textId="77777777" w:rsidR="002B24D6" w:rsidRPr="002B24D6" w:rsidRDefault="002B24D6" w:rsidP="00527E13">
      <w:pPr>
        <w:spacing w:after="0" w:line="240" w:lineRule="auto"/>
        <w:jc w:val="both"/>
        <w:rPr>
          <w:rFonts w:ascii="Times New Roman" w:eastAsia="Times New Roman" w:hAnsi="Times New Roman" w:cs="Times New Roman"/>
          <w:sz w:val="24"/>
          <w:szCs w:val="24"/>
        </w:rPr>
      </w:pPr>
    </w:p>
    <w:p w14:paraId="741AE658" w14:textId="77777777" w:rsidR="002B24D6" w:rsidRPr="002B24D6" w:rsidRDefault="002B24D6" w:rsidP="00527E13">
      <w:pPr>
        <w:spacing w:after="0" w:line="240" w:lineRule="auto"/>
        <w:jc w:val="both"/>
        <w:rPr>
          <w:sz w:val="24"/>
          <w:szCs w:val="24"/>
          <w:rFonts w:ascii="Times New Roman" w:eastAsia="Times New Roman" w:hAnsi="Times New Roman" w:cs="Times New Roman"/>
        </w:rPr>
      </w:pPr>
      <w:r>
        <w:rPr>
          <w:sz w:val="24"/>
          <w:rFonts w:ascii="Times New Roman" w:hAnsi="Times New Roman"/>
        </w:rPr>
        <w:t xml:space="preserve">Los asesores legales de la Junta han revisado la regla propuesta y determinado que su adopción se encuentra dentro de la autoridad de la Junta.</w:t>
      </w:r>
      <w:r>
        <w:rPr>
          <w:sz w:val="24"/>
          <w:rFonts w:ascii="Times New Roman" w:hAnsi="Times New Roman"/>
        </w:rPr>
        <w:t xml:space="preserve"> </w:t>
      </w:r>
    </w:p>
    <w:p w14:paraId="4703B182" w14:textId="77777777" w:rsidR="002B24D6" w:rsidRPr="002B24D6" w:rsidRDefault="002B24D6" w:rsidP="00527E13">
      <w:pPr>
        <w:spacing w:after="0" w:line="240" w:lineRule="auto"/>
        <w:jc w:val="both"/>
        <w:rPr>
          <w:rFonts w:ascii="Times New Roman" w:eastAsia="Times New Roman" w:hAnsi="Times New Roman" w:cs="Times New Roman"/>
          <w:sz w:val="24"/>
          <w:szCs w:val="24"/>
        </w:rPr>
      </w:pPr>
    </w:p>
    <w:p w14:paraId="4F927BB8" w14:textId="1377188C" w:rsidR="002B24D6" w:rsidRDefault="002B24D6" w:rsidP="00527E13">
      <w:pPr>
        <w:spacing w:after="0" w:line="240" w:lineRule="auto"/>
        <w:jc w:val="both"/>
        <w:rPr>
          <w:sz w:val="24"/>
          <w:szCs w:val="24"/>
          <w:rFonts w:ascii="Times New Roman" w:eastAsia="Times New Roman" w:hAnsi="Times New Roman" w:cs="Times New Roman"/>
        </w:rPr>
      </w:pPr>
      <w:r>
        <w:rPr>
          <w:sz w:val="24"/>
          <w:rFonts w:ascii="Times New Roman" w:hAnsi="Times New Roman"/>
        </w:rPr>
        <w:t xml:space="preserve">&lt;regla&gt;</w:t>
      </w:r>
    </w:p>
    <w:p w14:paraId="5FB51775" w14:textId="77777777" w:rsidR="002B24D6" w:rsidRDefault="002B24D6" w:rsidP="00527E13">
      <w:pPr>
        <w:spacing w:after="0" w:line="240" w:lineRule="auto"/>
        <w:jc w:val="both"/>
        <w:rPr>
          <w:rFonts w:ascii="Times New Roman" w:eastAsia="Times New Roman" w:hAnsi="Times New Roman" w:cs="Times New Roman"/>
          <w:sz w:val="24"/>
          <w:szCs w:val="24"/>
        </w:rPr>
      </w:pPr>
    </w:p>
    <w:p w14:paraId="62D6448B" w14:textId="12C4A60A" w:rsidR="00C96851" w:rsidRDefault="00465BBD" w:rsidP="00527E13">
      <w:pPr>
        <w:spacing w:after="0" w:line="240" w:lineRule="auto"/>
        <w:jc w:val="both"/>
        <w:rPr>
          <w:sz w:val="24"/>
          <w:szCs w:val="24"/>
          <w:rFonts w:ascii="Times New Roman" w:eastAsia="Times New Roman" w:hAnsi="Times New Roman" w:cs="Times New Roman"/>
        </w:rPr>
      </w:pPr>
      <w:r>
        <w:rPr>
          <w:sz w:val="24"/>
          <w:rFonts w:ascii="Times New Roman" w:hAnsi="Times New Roman"/>
        </w:rPr>
        <w:t xml:space="preserve">§117.2.</w:t>
      </w:r>
      <w:r>
        <w:rPr>
          <w:sz w:val="24"/>
          <w:rFonts w:ascii="Times New Roman" w:hAnsi="Times New Roman"/>
        </w:rPr>
        <w:t xml:space="preserve"> </w:t>
      </w:r>
      <w:r>
        <w:rPr>
          <w:sz w:val="24"/>
          <w:color w:val="222222"/>
          <w:shd w:val="clear" w:color="auto" w:fill="FFFFFF"/>
          <w:rFonts w:ascii="Times New Roman" w:hAnsi="Times New Roman"/>
        </w:rPr>
        <w:t xml:space="preserve">Licencia de personal académico de odontología</w:t>
      </w:r>
      <w:r>
        <w:rPr>
          <w:sz w:val="24"/>
          <w:rFonts w:ascii="Times New Roman" w:hAnsi="Times New Roman"/>
        </w:rPr>
        <w:t xml:space="preserve">.</w:t>
      </w:r>
    </w:p>
    <w:p w14:paraId="73B04CEF" w14:textId="77777777" w:rsidR="0052741D" w:rsidRPr="00B357C2" w:rsidRDefault="0052741D" w:rsidP="00527E13">
      <w:pPr>
        <w:spacing w:after="0" w:line="240" w:lineRule="auto"/>
        <w:jc w:val="both"/>
        <w:rPr>
          <w:rFonts w:ascii="Times New Roman" w:eastAsia="Times New Roman" w:hAnsi="Times New Roman" w:cs="Times New Roman"/>
          <w:sz w:val="24"/>
          <w:szCs w:val="24"/>
        </w:rPr>
      </w:pPr>
    </w:p>
    <w:p w14:paraId="0A8EF1C1" w14:textId="77777777" w:rsidR="00442AC2" w:rsidRDefault="00442AC2" w:rsidP="00442AC2">
      <w:pPr>
        <w:jc w:val="both"/>
        <w:rPr>
          <w:sz w:val="24"/>
          <w:szCs w:val="24"/>
          <w:rFonts w:ascii="Times New Roman" w:hAnsi="Times New Roman" w:cs="Times New Roman"/>
        </w:rPr>
      </w:pPr>
      <w:r>
        <w:rPr>
          <w:sz w:val="24"/>
          <w:rFonts w:ascii="Times New Roman" w:hAnsi="Times New Roman"/>
        </w:rPr>
        <w:t xml:space="preserve">(a) Con vigencia a partir del 1 de marzo de 2004, la SBDE emitirá una licencia a un miembro del personal académico de una escuela de odontología </w:t>
      </w:r>
      <w:r>
        <w:rPr>
          <w:sz w:val="24"/>
          <w:rFonts w:ascii="Times New Roman" w:hAnsi="Times New Roman"/>
        </w:rPr>
        <w:t xml:space="preserve">que</w:t>
      </w:r>
      <w:r>
        <w:rPr>
          <w:sz w:val="24"/>
          <w:rFonts w:ascii="Times New Roman" w:hAnsi="Times New Roman"/>
        </w:rPr>
        <w:t xml:space="preserve"> proporcione atención directa a pacientes, ante el pago de un arancel por una suma establecida por la Junta, que cumpla con todos los siguientes criterios:</w:t>
      </w:r>
    </w:p>
    <w:p w14:paraId="08BEC756" w14:textId="1E01FC59" w:rsidR="002425CA" w:rsidRPr="007D419D" w:rsidRDefault="002425CA" w:rsidP="002425CA">
      <w:pPr>
        <w:jc w:val="both"/>
        <w:rPr>
          <w:sz w:val="24"/>
          <w:szCs w:val="24"/>
          <w:u w:val="single"/>
          <w:rFonts w:ascii="Times New Roman" w:hAnsi="Times New Roman" w:cs="Times New Roman"/>
        </w:rPr>
      </w:pPr>
      <w:r>
        <w:rPr>
          <w:sz w:val="24"/>
          <w:u w:val="single"/>
          <w:rFonts w:ascii="Times New Roman" w:hAnsi="Times New Roman"/>
        </w:rPr>
        <w:t xml:space="preserve">(1) presente documentación que comprueba su ciudadanía estadounidense, residencia legal permanente en los Estados Unidos, o autorización federal de trabajo.</w:t>
      </w:r>
      <w:r>
        <w:rPr>
          <w:sz w:val="24"/>
          <w:u w:val="single"/>
          <w:rFonts w:ascii="Times New Roman" w:hAnsi="Times New Roman"/>
        </w:rPr>
        <w:t xml:space="preserve"> </w:t>
      </w:r>
      <w:bookmarkStart w:id="0" w:name="_Hlk218758224"/>
      <w:bookmarkStart w:id="1" w:name="_Hlk218759189"/>
      <w:r>
        <w:rPr>
          <w:sz w:val="24"/>
          <w:u w:val="single"/>
          <w:rFonts w:ascii="Times New Roman" w:hAnsi="Times New Roman"/>
        </w:rPr>
        <w:t xml:space="preserve">Este requisito se aplica para solicitudes iniciales y de renovación.</w:t>
      </w:r>
      <w:bookmarkEnd w:id="0"/>
      <w:r>
        <w:rPr>
          <w:sz w:val="24"/>
          <w:u w:val="single"/>
          <w:rFonts w:ascii="Times New Roman" w:hAnsi="Times New Roman"/>
        </w:rPr>
        <w:t xml:space="preserve"> </w:t>
      </w:r>
      <w:bookmarkEnd w:id="1"/>
      <w:r>
        <w:rPr>
          <w:sz w:val="24"/>
          <w:u w:val="single"/>
          <w:rFonts w:ascii="Times New Roman" w:hAnsi="Times New Roman"/>
        </w:rPr>
        <w:t xml:space="preserve">El solicitante debe presentar uno de los siguientes:</w:t>
      </w:r>
    </w:p>
    <w:p w14:paraId="19F1D26F" w14:textId="77777777" w:rsidR="002425CA" w:rsidRDefault="002425CA" w:rsidP="002425CA">
      <w:pPr>
        <w:pStyle w:val="ListParagraph"/>
        <w:numPr>
          <w:ilvl w:val="0"/>
          <w:numId w:val="5"/>
        </w:numPr>
        <w:jc w:val="both"/>
        <w:rPr>
          <w:sz w:val="24"/>
          <w:szCs w:val="24"/>
          <w:u w:val="single"/>
          <w:rFonts w:ascii="Times New Roman" w:hAnsi="Times New Roman" w:cs="Times New Roman"/>
        </w:rPr>
      </w:pPr>
      <w:r>
        <w:rPr>
          <w:sz w:val="24"/>
          <w:u w:val="single"/>
          <w:rFonts w:ascii="Times New Roman" w:hAnsi="Times New Roman"/>
        </w:rPr>
        <w:t xml:space="preserve"> </w:t>
      </w:r>
      <w:r>
        <w:rPr>
          <w:sz w:val="24"/>
          <w:u w:val="single"/>
          <w:rFonts w:ascii="Times New Roman" w:hAnsi="Times New Roman"/>
        </w:rPr>
        <w:t xml:space="preserve">una licencia de conducir o certificado de identificación del estado válidos y vigentes emitidos por un estado o territorio de los Estados Unidos, que cumpla con los requisitos mínimos de documentos y estándares de emisión para su reconocimiento federal conforme a la Ley REAL ID de 2005, Ley Pública 109-13, a menos que la licencia de conducir esté marcada como “Limited Term” [Plazo limitado] o “Temporary” [Temporal];</w:t>
      </w:r>
    </w:p>
    <w:p w14:paraId="7F1DF086" w14:textId="77777777" w:rsidR="000D59D7" w:rsidRDefault="000D59D7" w:rsidP="000D59D7">
      <w:pPr>
        <w:pStyle w:val="ListParagraph"/>
        <w:jc w:val="both"/>
        <w:rPr>
          <w:rFonts w:ascii="Times New Roman" w:hAnsi="Times New Roman" w:cs="Times New Roman"/>
          <w:sz w:val="24"/>
          <w:szCs w:val="24"/>
          <w:u w:val="single"/>
        </w:rPr>
      </w:pPr>
    </w:p>
    <w:p w14:paraId="0ED95933" w14:textId="2A74CD33" w:rsidR="000D59D7" w:rsidRPr="000D59D7" w:rsidRDefault="000D59D7" w:rsidP="000D59D7">
      <w:pPr>
        <w:pStyle w:val="ListParagraph"/>
        <w:numPr>
          <w:ilvl w:val="0"/>
          <w:numId w:val="5"/>
        </w:numPr>
        <w:jc w:val="both"/>
        <w:rPr>
          <w:sz w:val="24"/>
          <w:szCs w:val="24"/>
          <w:u w:val="single"/>
          <w:rFonts w:ascii="Times New Roman" w:hAnsi="Times New Roman" w:cs="Times New Roman"/>
        </w:rPr>
      </w:pPr>
      <w:r>
        <w:rPr>
          <w:sz w:val="24"/>
          <w:u w:val="single"/>
          <w:rFonts w:ascii="Times New Roman" w:hAnsi="Times New Roman"/>
        </w:rPr>
        <w:t xml:space="preserve">una licencia de conducir o certificado de identificación del estado válidos y vigentes que no cumplan con los requisitos de REAL ID, emitidos por uno de los siguientes estados:</w:t>
      </w:r>
      <w:r>
        <w:rPr>
          <w:sz w:val="24"/>
          <w:u w:val="single"/>
          <w:rFonts w:ascii="Times New Roman" w:hAnsi="Times New Roman"/>
        </w:rPr>
        <w:t xml:space="preserve"> </w:t>
      </w:r>
      <w:r>
        <w:rPr>
          <w:sz w:val="24"/>
          <w:u w:val="single"/>
          <w:rFonts w:ascii="Times New Roman" w:hAnsi="Times New Roman"/>
        </w:rPr>
        <w:t xml:space="preserve">Alabama, Alaska, Arizona, Arkansas, Florida, Georgia, Idaho, Indiana, Iowa, Kansas, Kentucky, Louisiana, Maine, Michigan, Mississippi, Missouri, Montana, Nebraska, Nuevo Hampshire, Carolina del Norte, Dakota del Norte, Ohio, Oklahoma, Pensilvania, Carolina del Sur, Dakota del Sur, Tennessee, Texas, Virginia Occidental, Wisconsin, o Wyoming;</w:t>
      </w:r>
    </w:p>
    <w:p w14:paraId="6D22BBE5" w14:textId="77777777" w:rsidR="002425CA" w:rsidRPr="007D419D" w:rsidRDefault="002425CA" w:rsidP="002425CA">
      <w:pPr>
        <w:pStyle w:val="ListParagraph"/>
        <w:ind w:left="1080"/>
        <w:jc w:val="both"/>
        <w:rPr>
          <w:rFonts w:ascii="Times New Roman" w:hAnsi="Times New Roman" w:cs="Times New Roman"/>
          <w:sz w:val="24"/>
          <w:szCs w:val="24"/>
          <w:u w:val="single"/>
        </w:rPr>
      </w:pPr>
    </w:p>
    <w:p w14:paraId="688F3CA5" w14:textId="77777777" w:rsidR="002425CA" w:rsidRPr="007D419D" w:rsidRDefault="002425CA" w:rsidP="002425CA">
      <w:pPr>
        <w:pStyle w:val="ListParagraph"/>
        <w:numPr>
          <w:ilvl w:val="0"/>
          <w:numId w:val="5"/>
        </w:numPr>
        <w:jc w:val="both"/>
        <w:rPr>
          <w:sz w:val="24"/>
          <w:szCs w:val="24"/>
          <w:u w:val="single"/>
          <w:rFonts w:ascii="Times New Roman" w:hAnsi="Times New Roman" w:cs="Times New Roman"/>
        </w:rPr>
      </w:pPr>
      <w:r>
        <w:rPr>
          <w:sz w:val="24"/>
          <w:u w:val="single"/>
          <w:rFonts w:ascii="Times New Roman" w:hAnsi="Times New Roman"/>
        </w:rPr>
        <w:t xml:space="preserve">un pasaporte válido.</w:t>
      </w:r>
      <w:r>
        <w:rPr>
          <w:sz w:val="24"/>
          <w:u w:val="single"/>
          <w:rFonts w:ascii="Times New Roman" w:hAnsi="Times New Roman"/>
        </w:rPr>
        <w:t xml:space="preserve"> </w:t>
      </w:r>
      <w:r>
        <w:rPr>
          <w:sz w:val="24"/>
          <w:u w:val="single"/>
          <w:rFonts w:ascii="Times New Roman" w:hAnsi="Times New Roman"/>
        </w:rPr>
        <w:t xml:space="preserve">Se define “pasaporte válido” como:</w:t>
      </w:r>
      <w:r>
        <w:rPr>
          <w:sz w:val="24"/>
          <w:u w:val="single"/>
          <w:rFonts w:ascii="Times New Roman" w:hAnsi="Times New Roman"/>
        </w:rPr>
        <w:t xml:space="preserve"> </w:t>
      </w:r>
    </w:p>
    <w:p w14:paraId="5A167AE7" w14:textId="77777777" w:rsidR="002425CA" w:rsidRPr="007D419D" w:rsidRDefault="002425CA" w:rsidP="002425CA">
      <w:pPr>
        <w:pStyle w:val="ListParagraph"/>
        <w:rPr>
          <w:rFonts w:ascii="Times New Roman" w:hAnsi="Times New Roman" w:cs="Times New Roman"/>
          <w:sz w:val="24"/>
          <w:szCs w:val="24"/>
          <w:u w:val="single"/>
        </w:rPr>
      </w:pPr>
    </w:p>
    <w:p w14:paraId="2B75DE84" w14:textId="77777777" w:rsidR="002425CA" w:rsidRPr="007D419D" w:rsidRDefault="002425CA" w:rsidP="002425CA">
      <w:pPr>
        <w:pStyle w:val="ListParagraph"/>
        <w:numPr>
          <w:ilvl w:val="0"/>
          <w:numId w:val="6"/>
        </w:numPr>
        <w:jc w:val="both"/>
        <w:rPr>
          <w:sz w:val="24"/>
          <w:szCs w:val="24"/>
          <w:u w:val="single"/>
          <w:rFonts w:ascii="Times New Roman" w:hAnsi="Times New Roman" w:cs="Times New Roman"/>
        </w:rPr>
      </w:pPr>
      <w:r>
        <w:rPr>
          <w:sz w:val="24"/>
          <w:u w:val="single"/>
          <w:rFonts w:ascii="Times New Roman" w:hAnsi="Times New Roman"/>
        </w:rPr>
        <w:t xml:space="preserve">un pasaporte o tarjeta de pasaporte vigente emitidos por el gobierno de Estados Unidos; o</w:t>
      </w:r>
      <w:r>
        <w:rPr>
          <w:sz w:val="24"/>
          <w:u w:val="single"/>
          <w:rFonts w:ascii="Times New Roman" w:hAnsi="Times New Roman"/>
        </w:rPr>
        <w:t xml:space="preserve"> </w:t>
      </w:r>
    </w:p>
    <w:p w14:paraId="63E62553" w14:textId="77777777" w:rsidR="002425CA" w:rsidRPr="007D419D" w:rsidRDefault="002425CA" w:rsidP="002425CA">
      <w:pPr>
        <w:pStyle w:val="ListParagraph"/>
        <w:ind w:left="2160"/>
        <w:jc w:val="both"/>
        <w:rPr>
          <w:rFonts w:ascii="Times New Roman" w:hAnsi="Times New Roman" w:cs="Times New Roman"/>
          <w:sz w:val="24"/>
          <w:szCs w:val="24"/>
          <w:u w:val="single"/>
        </w:rPr>
      </w:pPr>
    </w:p>
    <w:p w14:paraId="0F32C3E9" w14:textId="77777777" w:rsidR="002425CA" w:rsidRPr="007D419D" w:rsidRDefault="002425CA" w:rsidP="002425CA">
      <w:pPr>
        <w:pStyle w:val="ListParagraph"/>
        <w:numPr>
          <w:ilvl w:val="0"/>
          <w:numId w:val="6"/>
        </w:numPr>
        <w:jc w:val="both"/>
        <w:rPr>
          <w:sz w:val="24"/>
          <w:szCs w:val="24"/>
          <w:u w:val="single"/>
          <w:rFonts w:ascii="Times New Roman" w:hAnsi="Times New Roman" w:cs="Times New Roman"/>
        </w:rPr>
      </w:pPr>
      <w:r>
        <w:rPr>
          <w:sz w:val="24"/>
          <w:u w:val="single"/>
          <w:rFonts w:ascii="Times New Roman" w:hAnsi="Times New Roman"/>
        </w:rPr>
        <w:t xml:space="preserve">un pasaporte vigente emitido por el gobierno de otro país, acompañado de una cédula de residente permanente vigente o visa de inmigrante vigente, emitidos por el Departamento de Seguridad Nacional de Estados Unidos;</w:t>
      </w:r>
      <w:r>
        <w:rPr>
          <w:sz w:val="24"/>
          <w:u w:val="single"/>
          <w:rFonts w:ascii="Times New Roman" w:hAnsi="Times New Roman"/>
        </w:rPr>
        <w:t xml:space="preserve"> </w:t>
      </w:r>
    </w:p>
    <w:p w14:paraId="2992848F" w14:textId="77777777" w:rsidR="002425CA" w:rsidRPr="007D419D" w:rsidRDefault="002425CA" w:rsidP="002425CA">
      <w:pPr>
        <w:pStyle w:val="ListParagraph"/>
        <w:rPr>
          <w:rFonts w:ascii="Times New Roman" w:hAnsi="Times New Roman" w:cs="Times New Roman"/>
          <w:sz w:val="24"/>
          <w:szCs w:val="24"/>
          <w:u w:val="single"/>
        </w:rPr>
      </w:pPr>
    </w:p>
    <w:p w14:paraId="74F41D4A" w14:textId="77777777" w:rsidR="002425CA" w:rsidRPr="007D419D" w:rsidRDefault="002425CA" w:rsidP="002425CA">
      <w:pPr>
        <w:pStyle w:val="ListParagraph"/>
        <w:numPr>
          <w:ilvl w:val="0"/>
          <w:numId w:val="5"/>
        </w:numPr>
        <w:jc w:val="both"/>
        <w:rPr>
          <w:sz w:val="24"/>
          <w:szCs w:val="24"/>
          <w:u w:val="single"/>
          <w:rFonts w:ascii="Times New Roman" w:hAnsi="Times New Roman" w:cs="Times New Roman"/>
        </w:rPr>
      </w:pPr>
      <w:r>
        <w:rPr>
          <w:sz w:val="24"/>
          <w:u w:val="single"/>
          <w:rFonts w:ascii="Times New Roman" w:hAnsi="Times New Roman"/>
        </w:rPr>
        <w:t xml:space="preserve">una licencia de portación de armas de fuego válida y vigente emitida por el Departamento de Seguridad Pública de Texas conforme al Código de Gobierno, Capítulo 411, Apartado H;</w:t>
      </w:r>
    </w:p>
    <w:p w14:paraId="54149AB0" w14:textId="77777777" w:rsidR="002425CA" w:rsidRPr="007D419D" w:rsidRDefault="002425CA" w:rsidP="002425CA">
      <w:pPr>
        <w:pStyle w:val="ListParagraph"/>
        <w:jc w:val="both"/>
        <w:rPr>
          <w:rFonts w:ascii="Times New Roman" w:hAnsi="Times New Roman" w:cs="Times New Roman"/>
          <w:sz w:val="24"/>
          <w:szCs w:val="24"/>
          <w:u w:val="single"/>
        </w:rPr>
      </w:pPr>
    </w:p>
    <w:p w14:paraId="357F470D" w14:textId="77777777" w:rsidR="002425CA" w:rsidRPr="007D419D" w:rsidRDefault="002425CA" w:rsidP="002425CA">
      <w:pPr>
        <w:pStyle w:val="ListParagraph"/>
        <w:numPr>
          <w:ilvl w:val="0"/>
          <w:numId w:val="5"/>
        </w:numPr>
        <w:jc w:val="both"/>
        <w:rPr>
          <w:sz w:val="24"/>
          <w:szCs w:val="24"/>
          <w:u w:val="single"/>
          <w:rFonts w:ascii="Times New Roman" w:hAnsi="Times New Roman" w:cs="Times New Roman"/>
        </w:rPr>
      </w:pPr>
      <w:r>
        <w:rPr>
          <w:sz w:val="24"/>
          <w:u w:val="single"/>
          <w:rFonts w:ascii="Times New Roman" w:hAnsi="Times New Roman"/>
        </w:rPr>
        <w:t xml:space="preserve">un Certificado de Naturalización de Estados Unidos (Formulario N-550 o N-570); o</w:t>
      </w:r>
    </w:p>
    <w:p w14:paraId="6ED593E3" w14:textId="77777777" w:rsidR="002425CA" w:rsidRPr="007D419D" w:rsidRDefault="002425CA" w:rsidP="002425CA">
      <w:pPr>
        <w:pStyle w:val="ListParagraph"/>
        <w:rPr>
          <w:rFonts w:ascii="Times New Roman" w:hAnsi="Times New Roman" w:cs="Times New Roman"/>
          <w:sz w:val="24"/>
          <w:szCs w:val="24"/>
          <w:u w:val="single"/>
        </w:rPr>
      </w:pPr>
    </w:p>
    <w:p w14:paraId="7CB4EFA8" w14:textId="43457023" w:rsidR="002425CA" w:rsidRPr="002425CA" w:rsidRDefault="002425CA" w:rsidP="00442AC2">
      <w:pPr>
        <w:pStyle w:val="ListParagraph"/>
        <w:numPr>
          <w:ilvl w:val="0"/>
          <w:numId w:val="5"/>
        </w:numPr>
        <w:jc w:val="both"/>
        <w:rPr>
          <w:sz w:val="24"/>
          <w:szCs w:val="24"/>
          <w:u w:val="single"/>
          <w:rFonts w:ascii="Times New Roman" w:hAnsi="Times New Roman" w:cs="Times New Roman"/>
        </w:rPr>
      </w:pPr>
      <w:r>
        <w:rPr>
          <w:sz w:val="24"/>
          <w:u w:val="single"/>
          <w:rFonts w:ascii="Times New Roman" w:hAnsi="Times New Roman"/>
        </w:rPr>
        <w:t xml:space="preserve">un Certificado de Ciudadanía de Estados Unidos (Formulario N-560 o N-561);</w:t>
      </w:r>
    </w:p>
    <w:p w14:paraId="28DD307D" w14:textId="09C2E9D4" w:rsidR="00442AC2" w:rsidRPr="00442AC2" w:rsidRDefault="00900933" w:rsidP="00442AC2">
      <w:pPr>
        <w:jc w:val="both"/>
        <w:rPr>
          <w:sz w:val="24"/>
          <w:szCs w:val="24"/>
          <w:rFonts w:ascii="Times New Roman" w:hAnsi="Times New Roman" w:cs="Times New Roman"/>
        </w:rPr>
      </w:pPr>
      <w:r>
        <w:rPr>
          <w:sz w:val="24"/>
          <w:u w:val="single"/>
          <w:rFonts w:ascii="Times New Roman" w:hAnsi="Times New Roman"/>
        </w:rPr>
        <w:t xml:space="preserve">(2)</w:t>
      </w:r>
      <w:r>
        <w:rPr>
          <w:sz w:val="24"/>
          <w:rFonts w:ascii="Times New Roman" w:hAnsi="Times New Roman"/>
        </w:rPr>
        <w:t xml:space="preserve"> [(1)] tenga un título de una escuela de odontología;</w:t>
      </w:r>
    </w:p>
    <w:p w14:paraId="4899E7CD" w14:textId="37EE1D87" w:rsidR="00442AC2" w:rsidRPr="00442AC2" w:rsidRDefault="00900933" w:rsidP="00442AC2">
      <w:pPr>
        <w:jc w:val="both"/>
        <w:rPr>
          <w:sz w:val="24"/>
          <w:szCs w:val="24"/>
          <w:rFonts w:ascii="Times New Roman" w:hAnsi="Times New Roman" w:cs="Times New Roman"/>
        </w:rPr>
      </w:pPr>
      <w:r>
        <w:rPr>
          <w:sz w:val="24"/>
          <w:u w:val="single"/>
          <w:rFonts w:ascii="Times New Roman" w:hAnsi="Times New Roman"/>
        </w:rPr>
        <w:t xml:space="preserve">(3)</w:t>
      </w:r>
      <w:r>
        <w:rPr>
          <w:sz w:val="24"/>
          <w:rFonts w:ascii="Times New Roman" w:hAnsi="Times New Roman"/>
        </w:rPr>
        <w:t xml:space="preserve"> [(2)] ocupe un puesto como miembro del personal académico asalariado de medio tiempo o de tiempo completo en una escuela de odontología o higiene dental acreditada por la Comisión de Acreditación Odontológica (Commission on Dental Accreditation, CODA) de la American Dental Association;</w:t>
      </w:r>
    </w:p>
    <w:p w14:paraId="535E8CBF" w14:textId="4BAEF7E7" w:rsidR="00442AC2" w:rsidRPr="00442AC2" w:rsidRDefault="00900933" w:rsidP="00442AC2">
      <w:pPr>
        <w:jc w:val="both"/>
        <w:rPr>
          <w:sz w:val="24"/>
          <w:szCs w:val="24"/>
          <w:rFonts w:ascii="Times New Roman" w:hAnsi="Times New Roman" w:cs="Times New Roman"/>
        </w:rPr>
      </w:pPr>
      <w:r>
        <w:rPr>
          <w:sz w:val="24"/>
          <w:u w:val="single"/>
          <w:rFonts w:ascii="Times New Roman" w:hAnsi="Times New Roman"/>
        </w:rPr>
        <w:t xml:space="preserve">(4)</w:t>
      </w:r>
      <w:r>
        <w:rPr>
          <w:sz w:val="24"/>
          <w:rFonts w:ascii="Times New Roman" w:hAnsi="Times New Roman"/>
        </w:rPr>
        <w:t xml:space="preserve"> [(3)] obtenga apoyo para la solicitud del Decano, Jefe de Departamento, o Director de Programa de la escuela empleadora;</w:t>
      </w:r>
    </w:p>
    <w:p w14:paraId="6D4A5D17" w14:textId="6BDF0CC9" w:rsidR="00442AC2" w:rsidRPr="00442AC2" w:rsidRDefault="00900933" w:rsidP="00442AC2">
      <w:pPr>
        <w:jc w:val="both"/>
        <w:rPr>
          <w:sz w:val="24"/>
          <w:szCs w:val="24"/>
          <w:rFonts w:ascii="Times New Roman" w:hAnsi="Times New Roman" w:cs="Times New Roman"/>
        </w:rPr>
      </w:pPr>
      <w:r>
        <w:rPr>
          <w:sz w:val="24"/>
          <w:u w:val="single"/>
          <w:rFonts w:ascii="Times New Roman" w:hAnsi="Times New Roman"/>
        </w:rPr>
        <w:t xml:space="preserve">(5)</w:t>
      </w:r>
      <w:r>
        <w:rPr>
          <w:sz w:val="24"/>
          <w:rFonts w:ascii="Times New Roman" w:hAnsi="Times New Roman"/>
        </w:rPr>
        <w:t xml:space="preserve"> [(4)] pague un arancel de solicitud establecido por la Junta; y</w:t>
      </w:r>
    </w:p>
    <w:p w14:paraId="58E23629" w14:textId="7000A843" w:rsidR="00442AC2" w:rsidRPr="00442AC2" w:rsidRDefault="00900933" w:rsidP="00442AC2">
      <w:pPr>
        <w:jc w:val="both"/>
        <w:rPr>
          <w:sz w:val="24"/>
          <w:szCs w:val="24"/>
          <w:rFonts w:ascii="Times New Roman" w:hAnsi="Times New Roman" w:cs="Times New Roman"/>
        </w:rPr>
      </w:pPr>
      <w:r>
        <w:rPr>
          <w:sz w:val="24"/>
          <w:u w:val="single"/>
          <w:rFonts w:ascii="Times New Roman" w:hAnsi="Times New Roman"/>
        </w:rPr>
        <w:t xml:space="preserve">(6)</w:t>
      </w:r>
      <w:r>
        <w:rPr>
          <w:sz w:val="24"/>
          <w:rFonts w:ascii="Times New Roman" w:hAnsi="Times New Roman"/>
        </w:rPr>
        <w:t xml:space="preserve"> [(5)] haya realizado y aprobado el examen de jurisprudencia administrado por la SBDE o su servicio de evaluaciones designado.</w:t>
      </w:r>
    </w:p>
    <w:p w14:paraId="7944B801" w14:textId="77777777" w:rsidR="00442AC2" w:rsidRPr="00442AC2" w:rsidRDefault="00442AC2" w:rsidP="00442AC2">
      <w:pPr>
        <w:jc w:val="both"/>
        <w:rPr>
          <w:sz w:val="24"/>
          <w:szCs w:val="24"/>
          <w:rFonts w:ascii="Times New Roman" w:hAnsi="Times New Roman" w:cs="Times New Roman"/>
        </w:rPr>
      </w:pPr>
      <w:r>
        <w:rPr>
          <w:sz w:val="24"/>
          <w:rFonts w:ascii="Times New Roman" w:hAnsi="Times New Roman"/>
        </w:rPr>
        <w:t xml:space="preserve">(b) Un solicitante de una licencia en virtud de este capítulo debe presentar una solicitud de licencia a más tardar el día 30 después de la fecha en que la persona comience el empleo en la escuela de odontología o higiene dental.</w:t>
      </w:r>
    </w:p>
    <w:p w14:paraId="5C53FAE5" w14:textId="77777777" w:rsidR="00442AC2" w:rsidRPr="00442AC2" w:rsidRDefault="00442AC2" w:rsidP="00442AC2">
      <w:pPr>
        <w:jc w:val="both"/>
        <w:rPr>
          <w:sz w:val="24"/>
          <w:szCs w:val="24"/>
          <w:rFonts w:ascii="Times New Roman" w:hAnsi="Times New Roman" w:cs="Times New Roman"/>
        </w:rPr>
      </w:pPr>
      <w:r>
        <w:rPr>
          <w:sz w:val="24"/>
          <w:rFonts w:ascii="Times New Roman" w:hAnsi="Times New Roman"/>
        </w:rPr>
        <w:t xml:space="preserve">(c) Una licencia conforme a este capítulo se debe renovar todos los años.</w:t>
      </w:r>
      <w:r>
        <w:rPr>
          <w:sz w:val="24"/>
          <w:rFonts w:ascii="Times New Roman" w:hAnsi="Times New Roman"/>
        </w:rPr>
        <w:t xml:space="preserve"> </w:t>
      </w:r>
      <w:r>
        <w:rPr>
          <w:sz w:val="24"/>
          <w:rFonts w:ascii="Times New Roman" w:hAnsi="Times New Roman"/>
        </w:rPr>
        <w:t xml:space="preserve">Al renovarse, el titular de la licencia debe presentar un formulario de declaración jurada de empleo completado por el Decano, Jefe de Departamento o Director de Programa de la escuela empleadora.</w:t>
      </w:r>
    </w:p>
    <w:p w14:paraId="1CCCF8D6" w14:textId="77777777" w:rsidR="00442AC2" w:rsidRPr="00442AC2" w:rsidRDefault="00442AC2" w:rsidP="00442AC2">
      <w:pPr>
        <w:jc w:val="both"/>
        <w:rPr>
          <w:sz w:val="24"/>
          <w:szCs w:val="24"/>
          <w:rFonts w:ascii="Times New Roman" w:hAnsi="Times New Roman" w:cs="Times New Roman"/>
        </w:rPr>
      </w:pPr>
      <w:r>
        <w:rPr>
          <w:sz w:val="24"/>
          <w:rFonts w:ascii="Times New Roman" w:hAnsi="Times New Roman"/>
        </w:rPr>
        <w:t xml:space="preserve">(d) Una licencia emitida conforme a este capítulo vence al momento de la finalización del empleo en la escuela de odontología o higiene dental.</w:t>
      </w:r>
    </w:p>
    <w:p w14:paraId="7E72F4D1" w14:textId="77777777" w:rsidR="00442AC2" w:rsidRPr="00442AC2" w:rsidRDefault="00442AC2" w:rsidP="00442AC2">
      <w:pPr>
        <w:jc w:val="both"/>
        <w:rPr>
          <w:sz w:val="24"/>
          <w:szCs w:val="24"/>
          <w:rFonts w:ascii="Times New Roman" w:hAnsi="Times New Roman" w:cs="Times New Roman"/>
        </w:rPr>
      </w:pPr>
      <w:r>
        <w:rPr>
          <w:sz w:val="24"/>
          <w:rFonts w:ascii="Times New Roman" w:hAnsi="Times New Roman"/>
        </w:rPr>
        <w:t xml:space="preserve">(e) El titular de una licencia cuyo empleo en una escuela de odontología o higiene dental finalice, y que posteriormente sea contratado por la misma escuela de odontología o higiene dental, o una escuela diferente, debe cumplir con los requisitos para obtener una licencia original, excepto que la persona no tiene la obligación de volver a completar el examen de jurisprudencia.</w:t>
      </w:r>
    </w:p>
    <w:p w14:paraId="1B26F648" w14:textId="77777777" w:rsidR="00442AC2" w:rsidRPr="00442AC2" w:rsidRDefault="00442AC2" w:rsidP="00442AC2">
      <w:pPr>
        <w:jc w:val="both"/>
        <w:rPr>
          <w:sz w:val="24"/>
          <w:szCs w:val="24"/>
          <w:rFonts w:ascii="Times New Roman" w:hAnsi="Times New Roman" w:cs="Times New Roman"/>
        </w:rPr>
      </w:pPr>
      <w:r>
        <w:rPr>
          <w:sz w:val="24"/>
          <w:rFonts w:ascii="Times New Roman" w:hAnsi="Times New Roman"/>
        </w:rPr>
        <w:t xml:space="preserve">(f) Una licencia emitida conforme a este capítulo no autoriza al titular de la licencia a participar en la práctica de odontología o higiene dental fuera del auspicio de la escuela o el programa de odontología o higiene dental empleador.</w:t>
      </w:r>
    </w:p>
    <w:p w14:paraId="54FFCE6B" w14:textId="1D227905" w:rsidR="00AC4132" w:rsidRPr="00B357C2" w:rsidRDefault="00AC4132" w:rsidP="00527E13">
      <w:pPr>
        <w:jc w:val="both"/>
        <w:rPr>
          <w:rFonts w:ascii="Times New Roman" w:hAnsi="Times New Roman" w:cs="Times New Roman"/>
          <w:sz w:val="24"/>
          <w:szCs w:val="24"/>
        </w:rPr>
      </w:pPr>
    </w:p>
    <w:sectPr w:rsidR="00AC4132" w:rsidRPr="00B357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37116"/>
    <w:multiLevelType w:val="hybridMultilevel"/>
    <w:tmpl w:val="F3244C02"/>
    <w:lvl w:ilvl="0" w:tplc="D890A474">
      <w:start w:val="1"/>
      <w:numFmt w:val="upperLetter"/>
      <w:lvlText w:val="(%1)"/>
      <w:lvlJc w:val="left"/>
      <w:pPr>
        <w:ind w:left="720" w:hanging="360"/>
      </w:pPr>
      <w:rPr>
        <w:rFonts w:hint="default"/>
        <w:u w:val="single"/>
      </w:rPr>
    </w:lvl>
    <w:lvl w:ilvl="1" w:tplc="6FA6CFFC">
      <w:start w:val="1"/>
      <w:numFmt w:val="lowerLetter"/>
      <w:lvlText w:val="%2."/>
      <w:lvlJc w:val="left"/>
      <w:pPr>
        <w:ind w:left="1440" w:hanging="360"/>
      </w:pPr>
      <w:rPr>
        <w:u w:val="singl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263CAD"/>
    <w:multiLevelType w:val="hybridMultilevel"/>
    <w:tmpl w:val="989C0606"/>
    <w:lvl w:ilvl="0" w:tplc="5E264F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B6134F"/>
    <w:multiLevelType w:val="hybridMultilevel"/>
    <w:tmpl w:val="45623872"/>
    <w:lvl w:ilvl="0" w:tplc="044AD600">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 w15:restartNumberingAfterBreak="0">
    <w:nsid w:val="4B8B672C"/>
    <w:multiLevelType w:val="hybridMultilevel"/>
    <w:tmpl w:val="D93EE1CC"/>
    <w:lvl w:ilvl="0" w:tplc="D8CA6A6A">
      <w:start w:val="1"/>
      <w:numFmt w:val="lowerRoman"/>
      <w:lvlText w:val="(%1)"/>
      <w:lvlJc w:val="left"/>
      <w:pPr>
        <w:ind w:left="1440" w:hanging="720"/>
      </w:pPr>
      <w:rPr>
        <w:rFonts w:hint="default"/>
        <w:u w:val="singl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7BC7E42"/>
    <w:multiLevelType w:val="hybridMultilevel"/>
    <w:tmpl w:val="37CE33E0"/>
    <w:lvl w:ilvl="0" w:tplc="807C7DBC">
      <w:start w:val="1"/>
      <w:numFmt w:val="upperRoman"/>
      <w:lvlText w:val="(%1)"/>
      <w:lvlJc w:val="left"/>
      <w:pPr>
        <w:ind w:left="2160" w:hanging="720"/>
      </w:pPr>
      <w:rPr>
        <w:rFonts w:hint="default"/>
        <w:u w:val="single"/>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5ADC03FD"/>
    <w:multiLevelType w:val="hybridMultilevel"/>
    <w:tmpl w:val="6180CC54"/>
    <w:lvl w:ilvl="0" w:tplc="3B2C5A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E80166"/>
    <w:multiLevelType w:val="hybridMultilevel"/>
    <w:tmpl w:val="9702B13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6782226">
    <w:abstractNumId w:val="2"/>
  </w:num>
  <w:num w:numId="2" w16cid:durableId="922878223">
    <w:abstractNumId w:val="5"/>
  </w:num>
  <w:num w:numId="3" w16cid:durableId="688072057">
    <w:abstractNumId w:val="1"/>
  </w:num>
  <w:num w:numId="4" w16cid:durableId="586311849">
    <w:abstractNumId w:val="6"/>
  </w:num>
  <w:num w:numId="5" w16cid:durableId="500311567">
    <w:abstractNumId w:val="0"/>
  </w:num>
  <w:num w:numId="6" w16cid:durableId="1764648727">
    <w:abstractNumId w:val="3"/>
  </w:num>
  <w:num w:numId="7" w16cid:durableId="16845482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BBD"/>
    <w:rsid w:val="0000070B"/>
    <w:rsid w:val="00006752"/>
    <w:rsid w:val="000262A7"/>
    <w:rsid w:val="00026B91"/>
    <w:rsid w:val="000322BD"/>
    <w:rsid w:val="00033CF5"/>
    <w:rsid w:val="00044D21"/>
    <w:rsid w:val="00054B7F"/>
    <w:rsid w:val="0005764D"/>
    <w:rsid w:val="00063A73"/>
    <w:rsid w:val="00076D07"/>
    <w:rsid w:val="000878F1"/>
    <w:rsid w:val="000A0599"/>
    <w:rsid w:val="000A1C7D"/>
    <w:rsid w:val="000A326B"/>
    <w:rsid w:val="000A32EC"/>
    <w:rsid w:val="000A39F2"/>
    <w:rsid w:val="000B274D"/>
    <w:rsid w:val="000B5325"/>
    <w:rsid w:val="000C5F08"/>
    <w:rsid w:val="000D59D7"/>
    <w:rsid w:val="000E42B7"/>
    <w:rsid w:val="000E7DF5"/>
    <w:rsid w:val="000F3007"/>
    <w:rsid w:val="00122B18"/>
    <w:rsid w:val="00147C5A"/>
    <w:rsid w:val="00152CEF"/>
    <w:rsid w:val="001566E2"/>
    <w:rsid w:val="0016410C"/>
    <w:rsid w:val="00170261"/>
    <w:rsid w:val="00171F70"/>
    <w:rsid w:val="001756AF"/>
    <w:rsid w:val="00186156"/>
    <w:rsid w:val="00197AF8"/>
    <w:rsid w:val="001A0A1E"/>
    <w:rsid w:val="001A28C3"/>
    <w:rsid w:val="001B1402"/>
    <w:rsid w:val="001C2097"/>
    <w:rsid w:val="001C40E8"/>
    <w:rsid w:val="001C74D1"/>
    <w:rsid w:val="001D3125"/>
    <w:rsid w:val="001F01F6"/>
    <w:rsid w:val="001F1F84"/>
    <w:rsid w:val="00200BD6"/>
    <w:rsid w:val="00216CA1"/>
    <w:rsid w:val="002252B0"/>
    <w:rsid w:val="00226929"/>
    <w:rsid w:val="00230669"/>
    <w:rsid w:val="002425CA"/>
    <w:rsid w:val="002553FF"/>
    <w:rsid w:val="002604CF"/>
    <w:rsid w:val="002641FC"/>
    <w:rsid w:val="00274417"/>
    <w:rsid w:val="0028586D"/>
    <w:rsid w:val="00291A81"/>
    <w:rsid w:val="00292D96"/>
    <w:rsid w:val="002A7368"/>
    <w:rsid w:val="002B24D6"/>
    <w:rsid w:val="002B2D03"/>
    <w:rsid w:val="002B56EF"/>
    <w:rsid w:val="002C0441"/>
    <w:rsid w:val="002C5DD1"/>
    <w:rsid w:val="002D2739"/>
    <w:rsid w:val="002E1F0B"/>
    <w:rsid w:val="002E3B47"/>
    <w:rsid w:val="002F2DC2"/>
    <w:rsid w:val="00306674"/>
    <w:rsid w:val="0030725D"/>
    <w:rsid w:val="00310B3D"/>
    <w:rsid w:val="003122D4"/>
    <w:rsid w:val="00313E39"/>
    <w:rsid w:val="003253F2"/>
    <w:rsid w:val="00330211"/>
    <w:rsid w:val="00335CAF"/>
    <w:rsid w:val="00336E81"/>
    <w:rsid w:val="00343EBA"/>
    <w:rsid w:val="00352A6B"/>
    <w:rsid w:val="003574B2"/>
    <w:rsid w:val="00365011"/>
    <w:rsid w:val="0037047E"/>
    <w:rsid w:val="00380CE5"/>
    <w:rsid w:val="00386F51"/>
    <w:rsid w:val="003A1DC0"/>
    <w:rsid w:val="003A259D"/>
    <w:rsid w:val="003A6689"/>
    <w:rsid w:val="003A7EEA"/>
    <w:rsid w:val="003C4979"/>
    <w:rsid w:val="003C7A4C"/>
    <w:rsid w:val="003E109C"/>
    <w:rsid w:val="003E2C59"/>
    <w:rsid w:val="003E5C9D"/>
    <w:rsid w:val="003F0121"/>
    <w:rsid w:val="004111C7"/>
    <w:rsid w:val="0041347F"/>
    <w:rsid w:val="00416E66"/>
    <w:rsid w:val="004171B1"/>
    <w:rsid w:val="004254CA"/>
    <w:rsid w:val="00442AC2"/>
    <w:rsid w:val="004454E9"/>
    <w:rsid w:val="004655DE"/>
    <w:rsid w:val="00465BBD"/>
    <w:rsid w:val="0047583E"/>
    <w:rsid w:val="00476A97"/>
    <w:rsid w:val="00490983"/>
    <w:rsid w:val="004A0142"/>
    <w:rsid w:val="004C180D"/>
    <w:rsid w:val="004D42D9"/>
    <w:rsid w:val="004E35FE"/>
    <w:rsid w:val="004E5C87"/>
    <w:rsid w:val="0052741D"/>
    <w:rsid w:val="005278E7"/>
    <w:rsid w:val="00527CEE"/>
    <w:rsid w:val="00527E13"/>
    <w:rsid w:val="00531962"/>
    <w:rsid w:val="00536B7E"/>
    <w:rsid w:val="005576F5"/>
    <w:rsid w:val="00561AD2"/>
    <w:rsid w:val="00567836"/>
    <w:rsid w:val="00571C31"/>
    <w:rsid w:val="00583FD3"/>
    <w:rsid w:val="00594F2B"/>
    <w:rsid w:val="005A10A7"/>
    <w:rsid w:val="005A3911"/>
    <w:rsid w:val="005B7AB8"/>
    <w:rsid w:val="005C35A4"/>
    <w:rsid w:val="005C5920"/>
    <w:rsid w:val="005E1C28"/>
    <w:rsid w:val="005E1FAB"/>
    <w:rsid w:val="005E5973"/>
    <w:rsid w:val="005F1CE3"/>
    <w:rsid w:val="006149EB"/>
    <w:rsid w:val="006321BD"/>
    <w:rsid w:val="00634379"/>
    <w:rsid w:val="00634CFD"/>
    <w:rsid w:val="0063536D"/>
    <w:rsid w:val="00636A90"/>
    <w:rsid w:val="006377D8"/>
    <w:rsid w:val="0064197C"/>
    <w:rsid w:val="00643D5F"/>
    <w:rsid w:val="00652511"/>
    <w:rsid w:val="00666027"/>
    <w:rsid w:val="006700BE"/>
    <w:rsid w:val="00675328"/>
    <w:rsid w:val="00687ADA"/>
    <w:rsid w:val="00697BE7"/>
    <w:rsid w:val="006B273B"/>
    <w:rsid w:val="006B5603"/>
    <w:rsid w:val="006C76DD"/>
    <w:rsid w:val="006D0841"/>
    <w:rsid w:val="006D2F1E"/>
    <w:rsid w:val="006D45C6"/>
    <w:rsid w:val="006E21E7"/>
    <w:rsid w:val="006F2A4C"/>
    <w:rsid w:val="00704AA5"/>
    <w:rsid w:val="007108DF"/>
    <w:rsid w:val="00715C72"/>
    <w:rsid w:val="00725748"/>
    <w:rsid w:val="00727BE3"/>
    <w:rsid w:val="00741B01"/>
    <w:rsid w:val="00750185"/>
    <w:rsid w:val="00750F9D"/>
    <w:rsid w:val="00752B19"/>
    <w:rsid w:val="00762C16"/>
    <w:rsid w:val="00765F24"/>
    <w:rsid w:val="00767379"/>
    <w:rsid w:val="00771267"/>
    <w:rsid w:val="007916EA"/>
    <w:rsid w:val="007B1764"/>
    <w:rsid w:val="007B417D"/>
    <w:rsid w:val="007B4E8C"/>
    <w:rsid w:val="007C1BE2"/>
    <w:rsid w:val="007C3248"/>
    <w:rsid w:val="007C5EE2"/>
    <w:rsid w:val="007C62E5"/>
    <w:rsid w:val="007D29E5"/>
    <w:rsid w:val="007D419D"/>
    <w:rsid w:val="007D4D90"/>
    <w:rsid w:val="007D5B91"/>
    <w:rsid w:val="007D7714"/>
    <w:rsid w:val="007F0D84"/>
    <w:rsid w:val="007F1207"/>
    <w:rsid w:val="007F34E2"/>
    <w:rsid w:val="00804D11"/>
    <w:rsid w:val="008126A1"/>
    <w:rsid w:val="00830264"/>
    <w:rsid w:val="00831E35"/>
    <w:rsid w:val="00833BB0"/>
    <w:rsid w:val="00836A52"/>
    <w:rsid w:val="00837590"/>
    <w:rsid w:val="00840F41"/>
    <w:rsid w:val="00852781"/>
    <w:rsid w:val="00881B30"/>
    <w:rsid w:val="00883AE3"/>
    <w:rsid w:val="008878C7"/>
    <w:rsid w:val="00890173"/>
    <w:rsid w:val="00893647"/>
    <w:rsid w:val="008A5A5E"/>
    <w:rsid w:val="008A743C"/>
    <w:rsid w:val="008B33C9"/>
    <w:rsid w:val="008B6299"/>
    <w:rsid w:val="008D01E7"/>
    <w:rsid w:val="008D6B97"/>
    <w:rsid w:val="008F1CCC"/>
    <w:rsid w:val="008F282B"/>
    <w:rsid w:val="00900933"/>
    <w:rsid w:val="00912B71"/>
    <w:rsid w:val="0091317E"/>
    <w:rsid w:val="00914B68"/>
    <w:rsid w:val="009247D3"/>
    <w:rsid w:val="00951A62"/>
    <w:rsid w:val="009570B0"/>
    <w:rsid w:val="009622E9"/>
    <w:rsid w:val="00974818"/>
    <w:rsid w:val="00991BFD"/>
    <w:rsid w:val="00992FF6"/>
    <w:rsid w:val="00994435"/>
    <w:rsid w:val="009A05FE"/>
    <w:rsid w:val="009B07BD"/>
    <w:rsid w:val="009B0E4E"/>
    <w:rsid w:val="009B4063"/>
    <w:rsid w:val="009B60AA"/>
    <w:rsid w:val="009B60EA"/>
    <w:rsid w:val="009D0E77"/>
    <w:rsid w:val="009E0989"/>
    <w:rsid w:val="009E6B31"/>
    <w:rsid w:val="009F4198"/>
    <w:rsid w:val="00A0308B"/>
    <w:rsid w:val="00A07096"/>
    <w:rsid w:val="00A15C28"/>
    <w:rsid w:val="00A15CEF"/>
    <w:rsid w:val="00A21984"/>
    <w:rsid w:val="00A30FF3"/>
    <w:rsid w:val="00A37891"/>
    <w:rsid w:val="00A44F60"/>
    <w:rsid w:val="00A45E82"/>
    <w:rsid w:val="00A5420A"/>
    <w:rsid w:val="00A56300"/>
    <w:rsid w:val="00A57ABD"/>
    <w:rsid w:val="00A6376E"/>
    <w:rsid w:val="00A722CF"/>
    <w:rsid w:val="00A85AA1"/>
    <w:rsid w:val="00A87189"/>
    <w:rsid w:val="00A926E3"/>
    <w:rsid w:val="00A972C7"/>
    <w:rsid w:val="00AA3F0D"/>
    <w:rsid w:val="00AB67CD"/>
    <w:rsid w:val="00AC4132"/>
    <w:rsid w:val="00AC5B45"/>
    <w:rsid w:val="00AE03D3"/>
    <w:rsid w:val="00AE2A72"/>
    <w:rsid w:val="00AE6C18"/>
    <w:rsid w:val="00AE7799"/>
    <w:rsid w:val="00AF538A"/>
    <w:rsid w:val="00B02EF7"/>
    <w:rsid w:val="00B1396B"/>
    <w:rsid w:val="00B22141"/>
    <w:rsid w:val="00B230E5"/>
    <w:rsid w:val="00B330BA"/>
    <w:rsid w:val="00B357C2"/>
    <w:rsid w:val="00B708FB"/>
    <w:rsid w:val="00B70F15"/>
    <w:rsid w:val="00B84053"/>
    <w:rsid w:val="00B95EF2"/>
    <w:rsid w:val="00BA5F83"/>
    <w:rsid w:val="00BB6A66"/>
    <w:rsid w:val="00BC0AF4"/>
    <w:rsid w:val="00BC3F78"/>
    <w:rsid w:val="00BC56E2"/>
    <w:rsid w:val="00BD5C88"/>
    <w:rsid w:val="00BE4186"/>
    <w:rsid w:val="00BE544F"/>
    <w:rsid w:val="00BE59CB"/>
    <w:rsid w:val="00BE5C00"/>
    <w:rsid w:val="00C20ABF"/>
    <w:rsid w:val="00C407A3"/>
    <w:rsid w:val="00C4226C"/>
    <w:rsid w:val="00C45C88"/>
    <w:rsid w:val="00C45EAC"/>
    <w:rsid w:val="00C502EE"/>
    <w:rsid w:val="00C5127F"/>
    <w:rsid w:val="00C54CCD"/>
    <w:rsid w:val="00C56410"/>
    <w:rsid w:val="00C574FA"/>
    <w:rsid w:val="00C6074A"/>
    <w:rsid w:val="00C6251C"/>
    <w:rsid w:val="00C676F3"/>
    <w:rsid w:val="00C87461"/>
    <w:rsid w:val="00C87FB7"/>
    <w:rsid w:val="00C91729"/>
    <w:rsid w:val="00C9313B"/>
    <w:rsid w:val="00C96851"/>
    <w:rsid w:val="00CA444B"/>
    <w:rsid w:val="00CA454D"/>
    <w:rsid w:val="00CB1069"/>
    <w:rsid w:val="00CC7D27"/>
    <w:rsid w:val="00CD384E"/>
    <w:rsid w:val="00CE11EE"/>
    <w:rsid w:val="00CF187D"/>
    <w:rsid w:val="00CF1F70"/>
    <w:rsid w:val="00CF48B1"/>
    <w:rsid w:val="00D07113"/>
    <w:rsid w:val="00D12C28"/>
    <w:rsid w:val="00D17F3C"/>
    <w:rsid w:val="00D41505"/>
    <w:rsid w:val="00D81F25"/>
    <w:rsid w:val="00DA1A86"/>
    <w:rsid w:val="00DA7638"/>
    <w:rsid w:val="00DC373A"/>
    <w:rsid w:val="00DC54CE"/>
    <w:rsid w:val="00DD0FCE"/>
    <w:rsid w:val="00DD669C"/>
    <w:rsid w:val="00DF3841"/>
    <w:rsid w:val="00E03276"/>
    <w:rsid w:val="00E03A36"/>
    <w:rsid w:val="00E15F4D"/>
    <w:rsid w:val="00E23BB6"/>
    <w:rsid w:val="00E4345C"/>
    <w:rsid w:val="00E53413"/>
    <w:rsid w:val="00E62014"/>
    <w:rsid w:val="00E6334C"/>
    <w:rsid w:val="00E70743"/>
    <w:rsid w:val="00E77830"/>
    <w:rsid w:val="00E87E96"/>
    <w:rsid w:val="00E969E8"/>
    <w:rsid w:val="00EA263F"/>
    <w:rsid w:val="00EA35BF"/>
    <w:rsid w:val="00EC244C"/>
    <w:rsid w:val="00ED052D"/>
    <w:rsid w:val="00EE2F52"/>
    <w:rsid w:val="00EE67AD"/>
    <w:rsid w:val="00EE70A1"/>
    <w:rsid w:val="00EF0CE3"/>
    <w:rsid w:val="00EF6B9F"/>
    <w:rsid w:val="00F218EB"/>
    <w:rsid w:val="00F25CAB"/>
    <w:rsid w:val="00F334D9"/>
    <w:rsid w:val="00F4162B"/>
    <w:rsid w:val="00F62E83"/>
    <w:rsid w:val="00F9767F"/>
    <w:rsid w:val="00FA0037"/>
    <w:rsid w:val="00FB6673"/>
    <w:rsid w:val="00FD0D78"/>
    <w:rsid w:val="00FD4EE0"/>
    <w:rsid w:val="00FE214F"/>
    <w:rsid w:val="00FE3080"/>
    <w:rsid w:val="00FE3749"/>
    <w:rsid w:val="00FF0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C6510"/>
  <w15:chartTrackingRefBased/>
  <w15:docId w15:val="{18577452-F84A-46F0-B833-8FAC04092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5BBD"/>
    <w:pPr>
      <w:ind w:left="720"/>
      <w:contextualSpacing/>
    </w:pPr>
  </w:style>
  <w:style w:type="paragraph" w:styleId="BodyText">
    <w:name w:val="Body Text"/>
    <w:basedOn w:val="Normal"/>
    <w:link w:val="BodyTextChar"/>
    <w:uiPriority w:val="99"/>
    <w:unhideWhenUsed/>
    <w:rsid w:val="00336E81"/>
    <w:pPr>
      <w:spacing w:after="120"/>
    </w:pPr>
  </w:style>
  <w:style w:type="character" w:customStyle="1" w:styleId="BodyTextChar">
    <w:name w:val="Body Text Char"/>
    <w:basedOn w:val="DefaultParagraphFont"/>
    <w:link w:val="BodyText"/>
    <w:uiPriority w:val="99"/>
    <w:rsid w:val="00336E81"/>
  </w:style>
  <w:style w:type="character" w:styleId="Hyperlink">
    <w:name w:val="Hyperlink"/>
    <w:basedOn w:val="DefaultParagraphFont"/>
    <w:uiPriority w:val="99"/>
    <w:unhideWhenUsed/>
    <w:rsid w:val="00336E81"/>
    <w:rPr>
      <w:color w:val="0563C1" w:themeColor="hyperlink"/>
      <w:u w:val="single"/>
    </w:rPr>
  </w:style>
  <w:style w:type="character" w:styleId="UnresolvedMention">
    <w:name w:val="Unresolved Mention"/>
    <w:basedOn w:val="DefaultParagraphFont"/>
    <w:uiPriority w:val="99"/>
    <w:semiHidden/>
    <w:unhideWhenUsed/>
    <w:rsid w:val="00336E81"/>
    <w:rPr>
      <w:color w:val="605E5C"/>
      <w:shd w:val="clear" w:color="auto" w:fill="E1DFDD"/>
    </w:rPr>
  </w:style>
  <w:style w:type="paragraph" w:styleId="BalloonText">
    <w:name w:val="Balloon Text"/>
    <w:basedOn w:val="Normal"/>
    <w:link w:val="BalloonTextChar"/>
    <w:uiPriority w:val="99"/>
    <w:semiHidden/>
    <w:unhideWhenUsed/>
    <w:rsid w:val="005C59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5920"/>
    <w:rPr>
      <w:rFonts w:ascii="Segoe UI" w:hAnsi="Segoe UI" w:cs="Segoe UI"/>
      <w:sz w:val="18"/>
      <w:szCs w:val="18"/>
    </w:rPr>
  </w:style>
  <w:style w:type="paragraph" w:styleId="CommentText">
    <w:name w:val="annotation text"/>
    <w:basedOn w:val="Normal"/>
    <w:link w:val="CommentTextChar"/>
    <w:uiPriority w:val="99"/>
    <w:unhideWhenUsed/>
    <w:rsid w:val="00E969E8"/>
    <w:pPr>
      <w:spacing w:line="240" w:lineRule="auto"/>
    </w:pPr>
    <w:rPr>
      <w:sz w:val="20"/>
      <w:szCs w:val="20"/>
    </w:rPr>
  </w:style>
  <w:style w:type="character" w:customStyle="1" w:styleId="CommentTextChar">
    <w:name w:val="Comment Text Char"/>
    <w:basedOn w:val="DefaultParagraphFont"/>
    <w:link w:val="CommentText"/>
    <w:uiPriority w:val="99"/>
    <w:rsid w:val="00E969E8"/>
    <w:rPr>
      <w:sz w:val="20"/>
      <w:szCs w:val="20"/>
    </w:rPr>
  </w:style>
  <w:style w:type="character" w:styleId="CommentReference">
    <w:name w:val="annotation reference"/>
    <w:basedOn w:val="DefaultParagraphFont"/>
    <w:uiPriority w:val="99"/>
    <w:semiHidden/>
    <w:unhideWhenUsed/>
    <w:rsid w:val="00E969E8"/>
    <w:rPr>
      <w:sz w:val="16"/>
      <w:szCs w:val="16"/>
    </w:rPr>
  </w:style>
  <w:style w:type="paragraph" w:styleId="CommentSubject">
    <w:name w:val="annotation subject"/>
    <w:basedOn w:val="CommentText"/>
    <w:next w:val="CommentText"/>
    <w:link w:val="CommentSubjectChar"/>
    <w:uiPriority w:val="99"/>
    <w:semiHidden/>
    <w:unhideWhenUsed/>
    <w:rsid w:val="00A926E3"/>
    <w:rPr>
      <w:b/>
      <w:bCs/>
    </w:rPr>
  </w:style>
  <w:style w:type="character" w:customStyle="1" w:styleId="CommentSubjectChar">
    <w:name w:val="Comment Subject Char"/>
    <w:basedOn w:val="CommentTextChar"/>
    <w:link w:val="CommentSubject"/>
    <w:uiPriority w:val="99"/>
    <w:semiHidden/>
    <w:rsid w:val="00A926E3"/>
    <w:rPr>
      <w:b/>
      <w:bCs/>
      <w:sz w:val="20"/>
      <w:szCs w:val="20"/>
    </w:rPr>
  </w:style>
  <w:style w:type="paragraph" w:customStyle="1" w:styleId="ydpda298ee3yiv8607751865msonormal">
    <w:name w:val="ydpda298ee3yiv8607751865msonormal"/>
    <w:basedOn w:val="Normal"/>
    <w:uiPriority w:val="99"/>
    <w:rsid w:val="00914B68"/>
    <w:pPr>
      <w:spacing w:before="100" w:beforeAutospacing="1" w:after="100" w:afterAutospacing="1" w:line="240" w:lineRule="auto"/>
    </w:pPr>
    <w:rPr>
      <w:rFonts w:ascii="Calibri" w:hAnsi="Calibri" w:cs="Calibri"/>
    </w:rPr>
  </w:style>
  <w:style w:type="paragraph" w:styleId="NormalWeb">
    <w:name w:val="Normal (Web)"/>
    <w:basedOn w:val="Normal"/>
    <w:uiPriority w:val="99"/>
    <w:semiHidden/>
    <w:unhideWhenUsed/>
    <w:rsid w:val="001F1F84"/>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3A1DC0"/>
    <w:pPr>
      <w:spacing w:after="0" w:line="240" w:lineRule="auto"/>
    </w:pPr>
  </w:style>
  <w:style w:type="paragraph" w:customStyle="1" w:styleId="Default">
    <w:name w:val="Default"/>
    <w:rsid w:val="00CB106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95314">
      <w:bodyDiv w:val="1"/>
      <w:marLeft w:val="0"/>
      <w:marRight w:val="0"/>
      <w:marTop w:val="0"/>
      <w:marBottom w:val="0"/>
      <w:divBdr>
        <w:top w:val="none" w:sz="0" w:space="0" w:color="auto"/>
        <w:left w:val="none" w:sz="0" w:space="0" w:color="auto"/>
        <w:bottom w:val="none" w:sz="0" w:space="0" w:color="auto"/>
        <w:right w:val="none" w:sz="0" w:space="0" w:color="auto"/>
      </w:divBdr>
    </w:div>
    <w:div w:id="107773490">
      <w:bodyDiv w:val="1"/>
      <w:marLeft w:val="0"/>
      <w:marRight w:val="0"/>
      <w:marTop w:val="0"/>
      <w:marBottom w:val="0"/>
      <w:divBdr>
        <w:top w:val="none" w:sz="0" w:space="0" w:color="auto"/>
        <w:left w:val="none" w:sz="0" w:space="0" w:color="auto"/>
        <w:bottom w:val="none" w:sz="0" w:space="0" w:color="auto"/>
        <w:right w:val="none" w:sz="0" w:space="0" w:color="auto"/>
      </w:divBdr>
    </w:div>
    <w:div w:id="161169628">
      <w:bodyDiv w:val="1"/>
      <w:marLeft w:val="0"/>
      <w:marRight w:val="0"/>
      <w:marTop w:val="0"/>
      <w:marBottom w:val="0"/>
      <w:divBdr>
        <w:top w:val="none" w:sz="0" w:space="0" w:color="auto"/>
        <w:left w:val="none" w:sz="0" w:space="0" w:color="auto"/>
        <w:bottom w:val="none" w:sz="0" w:space="0" w:color="auto"/>
        <w:right w:val="none" w:sz="0" w:space="0" w:color="auto"/>
      </w:divBdr>
    </w:div>
    <w:div w:id="215361314">
      <w:bodyDiv w:val="1"/>
      <w:marLeft w:val="0"/>
      <w:marRight w:val="0"/>
      <w:marTop w:val="0"/>
      <w:marBottom w:val="0"/>
      <w:divBdr>
        <w:top w:val="none" w:sz="0" w:space="0" w:color="auto"/>
        <w:left w:val="none" w:sz="0" w:space="0" w:color="auto"/>
        <w:bottom w:val="none" w:sz="0" w:space="0" w:color="auto"/>
        <w:right w:val="none" w:sz="0" w:space="0" w:color="auto"/>
      </w:divBdr>
    </w:div>
    <w:div w:id="222764472">
      <w:bodyDiv w:val="1"/>
      <w:marLeft w:val="0"/>
      <w:marRight w:val="0"/>
      <w:marTop w:val="0"/>
      <w:marBottom w:val="0"/>
      <w:divBdr>
        <w:top w:val="none" w:sz="0" w:space="0" w:color="auto"/>
        <w:left w:val="none" w:sz="0" w:space="0" w:color="auto"/>
        <w:bottom w:val="none" w:sz="0" w:space="0" w:color="auto"/>
        <w:right w:val="none" w:sz="0" w:space="0" w:color="auto"/>
      </w:divBdr>
    </w:div>
    <w:div w:id="265814536">
      <w:bodyDiv w:val="1"/>
      <w:marLeft w:val="0"/>
      <w:marRight w:val="0"/>
      <w:marTop w:val="0"/>
      <w:marBottom w:val="0"/>
      <w:divBdr>
        <w:top w:val="none" w:sz="0" w:space="0" w:color="auto"/>
        <w:left w:val="none" w:sz="0" w:space="0" w:color="auto"/>
        <w:bottom w:val="none" w:sz="0" w:space="0" w:color="auto"/>
        <w:right w:val="none" w:sz="0" w:space="0" w:color="auto"/>
      </w:divBdr>
    </w:div>
    <w:div w:id="328290784">
      <w:bodyDiv w:val="1"/>
      <w:marLeft w:val="0"/>
      <w:marRight w:val="0"/>
      <w:marTop w:val="0"/>
      <w:marBottom w:val="0"/>
      <w:divBdr>
        <w:top w:val="none" w:sz="0" w:space="0" w:color="auto"/>
        <w:left w:val="none" w:sz="0" w:space="0" w:color="auto"/>
        <w:bottom w:val="none" w:sz="0" w:space="0" w:color="auto"/>
        <w:right w:val="none" w:sz="0" w:space="0" w:color="auto"/>
      </w:divBdr>
    </w:div>
    <w:div w:id="341786460">
      <w:bodyDiv w:val="1"/>
      <w:marLeft w:val="0"/>
      <w:marRight w:val="0"/>
      <w:marTop w:val="0"/>
      <w:marBottom w:val="0"/>
      <w:divBdr>
        <w:top w:val="none" w:sz="0" w:space="0" w:color="auto"/>
        <w:left w:val="none" w:sz="0" w:space="0" w:color="auto"/>
        <w:bottom w:val="none" w:sz="0" w:space="0" w:color="auto"/>
        <w:right w:val="none" w:sz="0" w:space="0" w:color="auto"/>
      </w:divBdr>
    </w:div>
    <w:div w:id="397631876">
      <w:bodyDiv w:val="1"/>
      <w:marLeft w:val="0"/>
      <w:marRight w:val="0"/>
      <w:marTop w:val="0"/>
      <w:marBottom w:val="0"/>
      <w:divBdr>
        <w:top w:val="none" w:sz="0" w:space="0" w:color="auto"/>
        <w:left w:val="none" w:sz="0" w:space="0" w:color="auto"/>
        <w:bottom w:val="none" w:sz="0" w:space="0" w:color="auto"/>
        <w:right w:val="none" w:sz="0" w:space="0" w:color="auto"/>
      </w:divBdr>
    </w:div>
    <w:div w:id="436951838">
      <w:bodyDiv w:val="1"/>
      <w:marLeft w:val="0"/>
      <w:marRight w:val="0"/>
      <w:marTop w:val="0"/>
      <w:marBottom w:val="0"/>
      <w:divBdr>
        <w:top w:val="none" w:sz="0" w:space="0" w:color="auto"/>
        <w:left w:val="none" w:sz="0" w:space="0" w:color="auto"/>
        <w:bottom w:val="none" w:sz="0" w:space="0" w:color="auto"/>
        <w:right w:val="none" w:sz="0" w:space="0" w:color="auto"/>
      </w:divBdr>
    </w:div>
    <w:div w:id="454059136">
      <w:bodyDiv w:val="1"/>
      <w:marLeft w:val="0"/>
      <w:marRight w:val="0"/>
      <w:marTop w:val="0"/>
      <w:marBottom w:val="0"/>
      <w:divBdr>
        <w:top w:val="none" w:sz="0" w:space="0" w:color="auto"/>
        <w:left w:val="none" w:sz="0" w:space="0" w:color="auto"/>
        <w:bottom w:val="none" w:sz="0" w:space="0" w:color="auto"/>
        <w:right w:val="none" w:sz="0" w:space="0" w:color="auto"/>
      </w:divBdr>
      <w:divsChild>
        <w:div w:id="1199512558">
          <w:marLeft w:val="0"/>
          <w:marRight w:val="0"/>
          <w:marTop w:val="0"/>
          <w:marBottom w:val="0"/>
          <w:divBdr>
            <w:top w:val="none" w:sz="0" w:space="0" w:color="auto"/>
            <w:left w:val="none" w:sz="0" w:space="0" w:color="auto"/>
            <w:bottom w:val="none" w:sz="0" w:space="0" w:color="auto"/>
            <w:right w:val="none" w:sz="0" w:space="0" w:color="auto"/>
          </w:divBdr>
          <w:divsChild>
            <w:div w:id="18468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494654">
      <w:bodyDiv w:val="1"/>
      <w:marLeft w:val="0"/>
      <w:marRight w:val="0"/>
      <w:marTop w:val="0"/>
      <w:marBottom w:val="0"/>
      <w:divBdr>
        <w:top w:val="none" w:sz="0" w:space="0" w:color="auto"/>
        <w:left w:val="none" w:sz="0" w:space="0" w:color="auto"/>
        <w:bottom w:val="none" w:sz="0" w:space="0" w:color="auto"/>
        <w:right w:val="none" w:sz="0" w:space="0" w:color="auto"/>
      </w:divBdr>
    </w:div>
    <w:div w:id="614095196">
      <w:bodyDiv w:val="1"/>
      <w:marLeft w:val="0"/>
      <w:marRight w:val="0"/>
      <w:marTop w:val="0"/>
      <w:marBottom w:val="0"/>
      <w:divBdr>
        <w:top w:val="none" w:sz="0" w:space="0" w:color="auto"/>
        <w:left w:val="none" w:sz="0" w:space="0" w:color="auto"/>
        <w:bottom w:val="none" w:sz="0" w:space="0" w:color="auto"/>
        <w:right w:val="none" w:sz="0" w:space="0" w:color="auto"/>
      </w:divBdr>
    </w:div>
    <w:div w:id="662510293">
      <w:bodyDiv w:val="1"/>
      <w:marLeft w:val="0"/>
      <w:marRight w:val="0"/>
      <w:marTop w:val="0"/>
      <w:marBottom w:val="0"/>
      <w:divBdr>
        <w:top w:val="none" w:sz="0" w:space="0" w:color="auto"/>
        <w:left w:val="none" w:sz="0" w:space="0" w:color="auto"/>
        <w:bottom w:val="none" w:sz="0" w:space="0" w:color="auto"/>
        <w:right w:val="none" w:sz="0" w:space="0" w:color="auto"/>
      </w:divBdr>
    </w:div>
    <w:div w:id="727581480">
      <w:bodyDiv w:val="1"/>
      <w:marLeft w:val="0"/>
      <w:marRight w:val="0"/>
      <w:marTop w:val="0"/>
      <w:marBottom w:val="0"/>
      <w:divBdr>
        <w:top w:val="none" w:sz="0" w:space="0" w:color="auto"/>
        <w:left w:val="none" w:sz="0" w:space="0" w:color="auto"/>
        <w:bottom w:val="none" w:sz="0" w:space="0" w:color="auto"/>
        <w:right w:val="none" w:sz="0" w:space="0" w:color="auto"/>
      </w:divBdr>
    </w:div>
    <w:div w:id="829176277">
      <w:bodyDiv w:val="1"/>
      <w:marLeft w:val="0"/>
      <w:marRight w:val="0"/>
      <w:marTop w:val="0"/>
      <w:marBottom w:val="0"/>
      <w:divBdr>
        <w:top w:val="none" w:sz="0" w:space="0" w:color="auto"/>
        <w:left w:val="none" w:sz="0" w:space="0" w:color="auto"/>
        <w:bottom w:val="none" w:sz="0" w:space="0" w:color="auto"/>
        <w:right w:val="none" w:sz="0" w:space="0" w:color="auto"/>
      </w:divBdr>
    </w:div>
    <w:div w:id="852885818">
      <w:bodyDiv w:val="1"/>
      <w:marLeft w:val="0"/>
      <w:marRight w:val="0"/>
      <w:marTop w:val="0"/>
      <w:marBottom w:val="0"/>
      <w:divBdr>
        <w:top w:val="none" w:sz="0" w:space="0" w:color="auto"/>
        <w:left w:val="none" w:sz="0" w:space="0" w:color="auto"/>
        <w:bottom w:val="none" w:sz="0" w:space="0" w:color="auto"/>
        <w:right w:val="none" w:sz="0" w:space="0" w:color="auto"/>
      </w:divBdr>
    </w:div>
    <w:div w:id="1049963215">
      <w:bodyDiv w:val="1"/>
      <w:marLeft w:val="0"/>
      <w:marRight w:val="0"/>
      <w:marTop w:val="0"/>
      <w:marBottom w:val="0"/>
      <w:divBdr>
        <w:top w:val="none" w:sz="0" w:space="0" w:color="auto"/>
        <w:left w:val="none" w:sz="0" w:space="0" w:color="auto"/>
        <w:bottom w:val="none" w:sz="0" w:space="0" w:color="auto"/>
        <w:right w:val="none" w:sz="0" w:space="0" w:color="auto"/>
      </w:divBdr>
    </w:div>
    <w:div w:id="1175337090">
      <w:bodyDiv w:val="1"/>
      <w:marLeft w:val="0"/>
      <w:marRight w:val="0"/>
      <w:marTop w:val="0"/>
      <w:marBottom w:val="0"/>
      <w:divBdr>
        <w:top w:val="none" w:sz="0" w:space="0" w:color="auto"/>
        <w:left w:val="none" w:sz="0" w:space="0" w:color="auto"/>
        <w:bottom w:val="none" w:sz="0" w:space="0" w:color="auto"/>
        <w:right w:val="none" w:sz="0" w:space="0" w:color="auto"/>
      </w:divBdr>
    </w:div>
    <w:div w:id="1215964283">
      <w:bodyDiv w:val="1"/>
      <w:marLeft w:val="0"/>
      <w:marRight w:val="0"/>
      <w:marTop w:val="0"/>
      <w:marBottom w:val="0"/>
      <w:divBdr>
        <w:top w:val="none" w:sz="0" w:space="0" w:color="auto"/>
        <w:left w:val="none" w:sz="0" w:space="0" w:color="auto"/>
        <w:bottom w:val="none" w:sz="0" w:space="0" w:color="auto"/>
        <w:right w:val="none" w:sz="0" w:space="0" w:color="auto"/>
      </w:divBdr>
    </w:div>
    <w:div w:id="1297565850">
      <w:bodyDiv w:val="1"/>
      <w:marLeft w:val="0"/>
      <w:marRight w:val="0"/>
      <w:marTop w:val="0"/>
      <w:marBottom w:val="0"/>
      <w:divBdr>
        <w:top w:val="none" w:sz="0" w:space="0" w:color="auto"/>
        <w:left w:val="none" w:sz="0" w:space="0" w:color="auto"/>
        <w:bottom w:val="none" w:sz="0" w:space="0" w:color="auto"/>
        <w:right w:val="none" w:sz="0" w:space="0" w:color="auto"/>
      </w:divBdr>
    </w:div>
    <w:div w:id="1450930811">
      <w:bodyDiv w:val="1"/>
      <w:marLeft w:val="0"/>
      <w:marRight w:val="0"/>
      <w:marTop w:val="0"/>
      <w:marBottom w:val="0"/>
      <w:divBdr>
        <w:top w:val="none" w:sz="0" w:space="0" w:color="auto"/>
        <w:left w:val="none" w:sz="0" w:space="0" w:color="auto"/>
        <w:bottom w:val="none" w:sz="0" w:space="0" w:color="auto"/>
        <w:right w:val="none" w:sz="0" w:space="0" w:color="auto"/>
      </w:divBdr>
      <w:divsChild>
        <w:div w:id="555707695">
          <w:marLeft w:val="0"/>
          <w:marRight w:val="0"/>
          <w:marTop w:val="0"/>
          <w:marBottom w:val="0"/>
          <w:divBdr>
            <w:top w:val="none" w:sz="0" w:space="0" w:color="auto"/>
            <w:left w:val="none" w:sz="0" w:space="0" w:color="auto"/>
            <w:bottom w:val="none" w:sz="0" w:space="0" w:color="auto"/>
            <w:right w:val="none" w:sz="0" w:space="0" w:color="auto"/>
          </w:divBdr>
          <w:divsChild>
            <w:div w:id="58669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287533">
      <w:bodyDiv w:val="1"/>
      <w:marLeft w:val="0"/>
      <w:marRight w:val="0"/>
      <w:marTop w:val="0"/>
      <w:marBottom w:val="0"/>
      <w:divBdr>
        <w:top w:val="none" w:sz="0" w:space="0" w:color="auto"/>
        <w:left w:val="none" w:sz="0" w:space="0" w:color="auto"/>
        <w:bottom w:val="none" w:sz="0" w:space="0" w:color="auto"/>
        <w:right w:val="none" w:sz="0" w:space="0" w:color="auto"/>
      </w:divBdr>
      <w:divsChild>
        <w:div w:id="1260747950">
          <w:marLeft w:val="0"/>
          <w:marRight w:val="0"/>
          <w:marTop w:val="0"/>
          <w:marBottom w:val="0"/>
          <w:divBdr>
            <w:top w:val="none" w:sz="0" w:space="0" w:color="auto"/>
            <w:left w:val="none" w:sz="0" w:space="0" w:color="auto"/>
            <w:bottom w:val="none" w:sz="0" w:space="0" w:color="auto"/>
            <w:right w:val="none" w:sz="0" w:space="0" w:color="auto"/>
          </w:divBdr>
          <w:divsChild>
            <w:div w:id="58919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808951">
      <w:bodyDiv w:val="1"/>
      <w:marLeft w:val="0"/>
      <w:marRight w:val="0"/>
      <w:marTop w:val="0"/>
      <w:marBottom w:val="0"/>
      <w:divBdr>
        <w:top w:val="none" w:sz="0" w:space="0" w:color="auto"/>
        <w:left w:val="none" w:sz="0" w:space="0" w:color="auto"/>
        <w:bottom w:val="none" w:sz="0" w:space="0" w:color="auto"/>
        <w:right w:val="none" w:sz="0" w:space="0" w:color="auto"/>
      </w:divBdr>
    </w:div>
    <w:div w:id="1678844550">
      <w:bodyDiv w:val="1"/>
      <w:marLeft w:val="0"/>
      <w:marRight w:val="0"/>
      <w:marTop w:val="0"/>
      <w:marBottom w:val="0"/>
      <w:divBdr>
        <w:top w:val="none" w:sz="0" w:space="0" w:color="auto"/>
        <w:left w:val="none" w:sz="0" w:space="0" w:color="auto"/>
        <w:bottom w:val="none" w:sz="0" w:space="0" w:color="auto"/>
        <w:right w:val="none" w:sz="0" w:space="0" w:color="auto"/>
      </w:divBdr>
    </w:div>
    <w:div w:id="1725062248">
      <w:bodyDiv w:val="1"/>
      <w:marLeft w:val="0"/>
      <w:marRight w:val="0"/>
      <w:marTop w:val="0"/>
      <w:marBottom w:val="0"/>
      <w:divBdr>
        <w:top w:val="none" w:sz="0" w:space="0" w:color="auto"/>
        <w:left w:val="none" w:sz="0" w:space="0" w:color="auto"/>
        <w:bottom w:val="none" w:sz="0" w:space="0" w:color="auto"/>
        <w:right w:val="none" w:sz="0" w:space="0" w:color="auto"/>
      </w:divBdr>
    </w:div>
    <w:div w:id="1738429765">
      <w:bodyDiv w:val="1"/>
      <w:marLeft w:val="0"/>
      <w:marRight w:val="0"/>
      <w:marTop w:val="0"/>
      <w:marBottom w:val="0"/>
      <w:divBdr>
        <w:top w:val="none" w:sz="0" w:space="0" w:color="auto"/>
        <w:left w:val="none" w:sz="0" w:space="0" w:color="auto"/>
        <w:bottom w:val="none" w:sz="0" w:space="0" w:color="auto"/>
        <w:right w:val="none" w:sz="0" w:space="0" w:color="auto"/>
      </w:divBdr>
    </w:div>
    <w:div w:id="1763181927">
      <w:bodyDiv w:val="1"/>
      <w:marLeft w:val="0"/>
      <w:marRight w:val="0"/>
      <w:marTop w:val="0"/>
      <w:marBottom w:val="0"/>
      <w:divBdr>
        <w:top w:val="none" w:sz="0" w:space="0" w:color="auto"/>
        <w:left w:val="none" w:sz="0" w:space="0" w:color="auto"/>
        <w:bottom w:val="none" w:sz="0" w:space="0" w:color="auto"/>
        <w:right w:val="none" w:sz="0" w:space="0" w:color="auto"/>
      </w:divBdr>
    </w:div>
    <w:div w:id="1915698856">
      <w:bodyDiv w:val="1"/>
      <w:marLeft w:val="0"/>
      <w:marRight w:val="0"/>
      <w:marTop w:val="0"/>
      <w:marBottom w:val="0"/>
      <w:divBdr>
        <w:top w:val="none" w:sz="0" w:space="0" w:color="auto"/>
        <w:left w:val="none" w:sz="0" w:space="0" w:color="auto"/>
        <w:bottom w:val="none" w:sz="0" w:space="0" w:color="auto"/>
        <w:right w:val="none" w:sz="0" w:space="0" w:color="auto"/>
      </w:divBdr>
    </w:div>
    <w:div w:id="2021617261">
      <w:bodyDiv w:val="1"/>
      <w:marLeft w:val="0"/>
      <w:marRight w:val="0"/>
      <w:marTop w:val="0"/>
      <w:marBottom w:val="0"/>
      <w:divBdr>
        <w:top w:val="none" w:sz="0" w:space="0" w:color="auto"/>
        <w:left w:val="none" w:sz="0" w:space="0" w:color="auto"/>
        <w:bottom w:val="none" w:sz="0" w:space="0" w:color="auto"/>
        <w:right w:val="none" w:sz="0" w:space="0" w:color="auto"/>
      </w:divBdr>
    </w:div>
    <w:div w:id="2086293522">
      <w:bodyDiv w:val="1"/>
      <w:marLeft w:val="0"/>
      <w:marRight w:val="0"/>
      <w:marTop w:val="0"/>
      <w:marBottom w:val="0"/>
      <w:divBdr>
        <w:top w:val="none" w:sz="0" w:space="0" w:color="auto"/>
        <w:left w:val="none" w:sz="0" w:space="0" w:color="auto"/>
        <w:bottom w:val="none" w:sz="0" w:space="0" w:color="auto"/>
        <w:right w:val="none" w:sz="0" w:space="0" w:color="auto"/>
      </w:divBdr>
    </w:div>
    <w:div w:id="2098135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E6AF1-04E7-47BB-924D-5A99748E5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1621</TotalTime>
  <Pages>3</Pages>
  <Words>1058</Words>
  <Characters>6034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Studdard</dc:creator>
  <cp:keywords/>
  <dc:description/>
  <cp:lastModifiedBy>Lauren Studdard</cp:lastModifiedBy>
  <cp:revision>89</cp:revision>
  <dcterms:created xsi:type="dcterms:W3CDTF">2023-10-27T17:15:00Z</dcterms:created>
  <dcterms:modified xsi:type="dcterms:W3CDTF">2026-01-12T19:40:00Z</dcterms:modified>
</cp:coreProperties>
</file>