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8B4EA" w14:textId="445ADF02" w:rsidR="003F58A4" w:rsidRPr="008F3DEF" w:rsidRDefault="00465BBD" w:rsidP="008F1F96">
      <w:pPr>
        <w:rPr>
          <w:rFonts w:ascii="Times New Roman" w:eastAsia="Times New Roman" w:hAnsi="Times New Roman" w:cs="Times New Roman"/>
          <w:sz w:val="24"/>
          <w:szCs w:val="24"/>
          <w:lang w:val="es-US"/>
        </w:rPr>
      </w:pPr>
      <w:r w:rsidRPr="008F3DEF">
        <w:rPr>
          <w:rFonts w:ascii="Times New Roman" w:hAnsi="Times New Roman"/>
          <w:sz w:val="24"/>
          <w:lang w:val="es-US"/>
        </w:rPr>
        <w:t>La Junta Estatal de Odontólogos (Junta) propone esta derogación de la regla 115 del título 22 del TEC  con respecto al comité asesor de higiene dental. La derogación propuesta implementa el Proyecto de Ley del Senado 313 de la 85</w:t>
      </w:r>
      <w:r w:rsidRPr="008F3DEF">
        <w:rPr>
          <w:rFonts w:ascii="Times New Roman" w:hAnsi="Times New Roman"/>
          <w:sz w:val="24"/>
          <w:vertAlign w:val="superscript"/>
          <w:lang w:val="es-US"/>
        </w:rPr>
        <w:t>ta</w:t>
      </w:r>
      <w:r w:rsidRPr="008F3DEF">
        <w:rPr>
          <w:rFonts w:ascii="Times New Roman" w:hAnsi="Times New Roman"/>
          <w:sz w:val="24"/>
          <w:lang w:val="es-US"/>
        </w:rPr>
        <w:t xml:space="preserve"> Legislatura de Texas, Sesión Ordinaria (2017). El proyecto de ley derogó el Subcapítulo B, Capítulo 262 del Código de Ocupaciones de Texas, que pertenecía al comité asesor de higiene dental. La Junta ya no utiliza el comité. </w:t>
      </w:r>
    </w:p>
    <w:p w14:paraId="71815942" w14:textId="77777777" w:rsidR="006F034A" w:rsidRPr="008F3DEF" w:rsidRDefault="006F034A" w:rsidP="00465BBD">
      <w:pPr>
        <w:spacing w:after="0" w:line="240" w:lineRule="auto"/>
        <w:rPr>
          <w:rFonts w:ascii="Times New Roman" w:hAnsi="Times New Roman" w:cs="Times New Roman"/>
          <w:sz w:val="24"/>
          <w:szCs w:val="24"/>
          <w:lang w:val="es-US"/>
        </w:rPr>
      </w:pPr>
    </w:p>
    <w:p w14:paraId="0A4A3A88" w14:textId="6D2A2165" w:rsidR="00465BBD" w:rsidRPr="008F3DEF" w:rsidRDefault="00465BBD"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 xml:space="preserve">NOTA FISCAL: Casey Nichols, Directora Ejecutiva, ha determinado que en el primer período de cinco años en que esté vigente la derogación propuesta, la derogación propuesta no tiene implicancias previsibles con respecto al costo o las rentas del estado o los gobiernos locales. </w:t>
      </w:r>
    </w:p>
    <w:p w14:paraId="5CB42921" w14:textId="77777777" w:rsidR="00465BBD" w:rsidRPr="008F3DEF" w:rsidRDefault="00465BBD" w:rsidP="00465BBD">
      <w:pPr>
        <w:spacing w:after="0" w:line="240" w:lineRule="auto"/>
        <w:rPr>
          <w:rFonts w:ascii="Times New Roman" w:hAnsi="Times New Roman" w:cs="Times New Roman"/>
          <w:sz w:val="24"/>
          <w:szCs w:val="24"/>
          <w:lang w:val="es-US"/>
        </w:rPr>
      </w:pPr>
    </w:p>
    <w:p w14:paraId="069AB9E6" w14:textId="77777777" w:rsidR="00465BBD" w:rsidRPr="008F3DEF" w:rsidRDefault="00465BBD"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 xml:space="preserve">NOTA PÚBLICA DE COSTOS Y BENEFICIOS: Casey Nichols también ha determinado que en el período inicial de cinco años en que esté vigente la derogación propuesta, el beneficio público esperado como resultado de esta derogación propuesta será la eliminación de una norma que no es consistente con la legislación estatal. </w:t>
      </w:r>
    </w:p>
    <w:p w14:paraId="78DA5709" w14:textId="77777777" w:rsidR="00465BBD" w:rsidRPr="008F3DEF" w:rsidRDefault="00465BBD" w:rsidP="00465BBD">
      <w:pPr>
        <w:spacing w:after="0" w:line="240" w:lineRule="auto"/>
        <w:rPr>
          <w:rFonts w:ascii="Times New Roman" w:hAnsi="Times New Roman" w:cs="Times New Roman"/>
          <w:sz w:val="24"/>
          <w:szCs w:val="24"/>
          <w:lang w:val="es-US"/>
        </w:rPr>
      </w:pPr>
    </w:p>
    <w:p w14:paraId="6B49F418" w14:textId="77777777" w:rsidR="00465BBD" w:rsidRPr="008F3DEF" w:rsidRDefault="00465BBD"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 xml:space="preserve">DECLARACIÓN DE IMPACTO SOBRE EL EMPLEO LOCAL: Casey Nichols también ha determinado que la derogación propuesta no afecta las economías y el empleo locales. </w:t>
      </w:r>
    </w:p>
    <w:p w14:paraId="0F26386E" w14:textId="77777777" w:rsidR="00465BBD" w:rsidRPr="008F3DEF" w:rsidRDefault="00465BBD" w:rsidP="00465BBD">
      <w:pPr>
        <w:spacing w:after="0" w:line="240" w:lineRule="auto"/>
        <w:rPr>
          <w:rFonts w:ascii="Times New Roman" w:hAnsi="Times New Roman" w:cs="Times New Roman"/>
          <w:sz w:val="24"/>
          <w:szCs w:val="24"/>
          <w:lang w:val="es-US"/>
        </w:rPr>
      </w:pPr>
    </w:p>
    <w:p w14:paraId="484F833E" w14:textId="04501F73" w:rsidR="00465BBD" w:rsidRPr="008F3DEF" w:rsidRDefault="00465BBD"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 xml:space="preserve">DECLARACIÓN DE IMPACTO SOBRE LAS PEQUEÑAS Y MICROEMPRESAS Y LA COMUNIDAD RURAL: Casey Nichols ha determinado que no es necesaria una declaración de impacto económico y análisis de flexibilidad regulatorio para pequeñas empresas, microempresas y comunidades rurales para esta derogación propuesta. </w:t>
      </w:r>
    </w:p>
    <w:p w14:paraId="2D6AAC9A" w14:textId="77777777" w:rsidR="00465BBD" w:rsidRPr="008F3DEF" w:rsidRDefault="00465BBD" w:rsidP="00465BBD">
      <w:pPr>
        <w:spacing w:after="0" w:line="240" w:lineRule="auto"/>
        <w:rPr>
          <w:rFonts w:ascii="Times New Roman" w:hAnsi="Times New Roman" w:cs="Times New Roman"/>
          <w:sz w:val="24"/>
          <w:szCs w:val="24"/>
          <w:lang w:val="es-US"/>
        </w:rPr>
      </w:pPr>
    </w:p>
    <w:p w14:paraId="706C69EE" w14:textId="77777777" w:rsidR="00465BBD" w:rsidRPr="008F3DEF" w:rsidRDefault="00465BBD"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 xml:space="preserve">DECLARACIÓN DE IMPACTO SOBRE EL CRECIMIENTO DEL GOBIERNO: La Junta ha determinado que, durante el primer período de cinco años en que esté vigente la regla, se aplicarían los siguientes efectos sobre el crecimiento gubernamental: (1) la derogación propuesta no crea ni elimina un programa gubernamental; (2) la aplicación de la derogación propuesta no requiere la creación o eliminación de puestos de empleados; (3) la aplicación de la derogación propuesta no requiere un aumento o disminución de las apropiaciones futuras; (4) la derogación propuesta no exige un aumento de las tasas pagadas a la agencia; (5) la derogación propuesta no crea un nuevo reglamento; (6) la derogación propuesta limita una norma existente al eliminar requisitos que fueron derogados por la ley estatal; (7) la derogación propuesta disminuye el número de personas sujetas a ella al eliminar los requisitos de la regla; y (8) la derogación propuesta no afecta positiva o negativamente a la economía del estado. </w:t>
      </w:r>
    </w:p>
    <w:p w14:paraId="0A28D570" w14:textId="77777777" w:rsidR="00465BBD" w:rsidRPr="008F3DEF" w:rsidRDefault="00465BBD" w:rsidP="00465BBD">
      <w:pPr>
        <w:spacing w:after="0" w:line="240" w:lineRule="auto"/>
        <w:rPr>
          <w:rFonts w:ascii="Times New Roman" w:hAnsi="Times New Roman" w:cs="Times New Roman"/>
          <w:sz w:val="24"/>
          <w:szCs w:val="24"/>
          <w:lang w:val="es-US"/>
        </w:rPr>
      </w:pPr>
    </w:p>
    <w:p w14:paraId="5B90D478" w14:textId="77777777" w:rsidR="00465BBD" w:rsidRPr="008F3DEF" w:rsidRDefault="00465BBD"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 xml:space="preserve">COSTO PARA PERSONAS REGULADAS: Esta derogación propuesta no impone un costo a una persona regulada y, por lo tanto, no está sujeta al Código de Gobierno de Texas §2001.0045. </w:t>
      </w:r>
    </w:p>
    <w:p w14:paraId="5E33F4EE" w14:textId="77777777" w:rsidR="00465BBD" w:rsidRPr="008F3DEF" w:rsidRDefault="00465BBD" w:rsidP="00465BBD">
      <w:pPr>
        <w:spacing w:after="0" w:line="240" w:lineRule="auto"/>
        <w:rPr>
          <w:rFonts w:ascii="Times New Roman" w:hAnsi="Times New Roman" w:cs="Times New Roman"/>
          <w:sz w:val="24"/>
          <w:szCs w:val="24"/>
          <w:lang w:val="es-US"/>
        </w:rPr>
      </w:pPr>
    </w:p>
    <w:p w14:paraId="0A483989" w14:textId="77777777" w:rsidR="00465BBD" w:rsidRPr="008F3DEF" w:rsidRDefault="00465BBD"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 xml:space="preserve">Se pueden enviar comentarios sobre la derogación propuesta a Casey Nichols, Directora Ejecutiva, a 1801 Congress Avenue, Suite 8.600, Austin, Texas 78701, por fax al (512) 649-2482, o por correo electrónico a official_rules_comments@tsbde.texas.gov durante 30 días luego de la fecha de publicación de la derogación propuesta en el </w:t>
      </w:r>
      <w:r w:rsidRPr="008F3DEF">
        <w:rPr>
          <w:rFonts w:ascii="Times New Roman" w:hAnsi="Times New Roman"/>
          <w:i/>
          <w:sz w:val="24"/>
          <w:lang w:val="es-US"/>
        </w:rPr>
        <w:t>Registro de Texas</w:t>
      </w:r>
      <w:r w:rsidRPr="008F3DEF">
        <w:rPr>
          <w:rFonts w:ascii="Times New Roman" w:hAnsi="Times New Roman"/>
          <w:sz w:val="24"/>
          <w:lang w:val="es-US"/>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0FD405E7" w14:textId="77777777" w:rsidR="00465BBD" w:rsidRPr="008F3DEF" w:rsidRDefault="00465BBD" w:rsidP="00465BBD">
      <w:pPr>
        <w:spacing w:after="0" w:line="240" w:lineRule="auto"/>
        <w:rPr>
          <w:rFonts w:ascii="Times New Roman" w:hAnsi="Times New Roman" w:cs="Times New Roman"/>
          <w:sz w:val="24"/>
          <w:szCs w:val="24"/>
          <w:lang w:val="es-US"/>
        </w:rPr>
      </w:pPr>
    </w:p>
    <w:p w14:paraId="53F32D2F" w14:textId="77777777" w:rsidR="00465BBD" w:rsidRPr="008F3DEF" w:rsidRDefault="00465BBD"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Esta derogación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33193BBE" w14:textId="77777777" w:rsidR="00465BBD" w:rsidRPr="008F3DEF" w:rsidRDefault="00465BBD" w:rsidP="00465BBD">
      <w:pPr>
        <w:spacing w:after="0" w:line="240" w:lineRule="auto"/>
        <w:rPr>
          <w:rFonts w:ascii="Times New Roman" w:hAnsi="Times New Roman" w:cs="Times New Roman"/>
          <w:sz w:val="24"/>
          <w:szCs w:val="24"/>
          <w:lang w:val="es-US"/>
        </w:rPr>
      </w:pPr>
    </w:p>
    <w:p w14:paraId="6A15AF6E" w14:textId="77777777" w:rsidR="00465BBD" w:rsidRPr="008F3DEF" w:rsidRDefault="00D3326F"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 xml:space="preserve">Esta derogación propuesta implementa la derogación del Subcapítulo B, Capítulo 262, Código de Ocupaciones de Texas, como se establece en el Proyecto de Ley del Senado 313 de la Legislatura 85 de Texas, Sesión Ordinaria (2017). </w:t>
      </w:r>
    </w:p>
    <w:p w14:paraId="5CF7ECC5" w14:textId="77777777" w:rsidR="00EF47B3" w:rsidRPr="008F3DEF" w:rsidRDefault="00EF47B3" w:rsidP="00465BBD">
      <w:pPr>
        <w:spacing w:after="0" w:line="240" w:lineRule="auto"/>
        <w:rPr>
          <w:rFonts w:ascii="Times New Roman" w:hAnsi="Times New Roman" w:cs="Times New Roman"/>
          <w:sz w:val="24"/>
          <w:szCs w:val="24"/>
          <w:lang w:val="es-US"/>
        </w:rPr>
      </w:pPr>
    </w:p>
    <w:p w14:paraId="2E432B4B" w14:textId="77777777" w:rsidR="00465BBD" w:rsidRPr="008F3DEF" w:rsidRDefault="00465BBD" w:rsidP="00465BBD">
      <w:pPr>
        <w:spacing w:after="0" w:line="240" w:lineRule="auto"/>
        <w:rPr>
          <w:rFonts w:ascii="Times New Roman" w:hAnsi="Times New Roman" w:cs="Times New Roman"/>
          <w:sz w:val="24"/>
          <w:szCs w:val="24"/>
          <w:lang w:val="es-US"/>
        </w:rPr>
      </w:pPr>
      <w:r w:rsidRPr="008F3DEF">
        <w:rPr>
          <w:rFonts w:ascii="Times New Roman" w:hAnsi="Times New Roman"/>
          <w:sz w:val="24"/>
          <w:lang w:val="es-US"/>
        </w:rPr>
        <w:t xml:space="preserve">Los abogados de la Junta han revisado la derogación propuesta y han determinado que se encuentra dentro de la autoridad de la Junta adoptarla. </w:t>
      </w:r>
    </w:p>
    <w:p w14:paraId="61E09B09" w14:textId="77777777" w:rsidR="00465BBD" w:rsidRPr="008F3DEF" w:rsidRDefault="00465BBD" w:rsidP="00465BBD">
      <w:pPr>
        <w:spacing w:after="0" w:line="240" w:lineRule="auto"/>
        <w:rPr>
          <w:rFonts w:ascii="Times New Roman" w:hAnsi="Times New Roman" w:cs="Times New Roman"/>
          <w:sz w:val="24"/>
          <w:szCs w:val="24"/>
          <w:lang w:val="es-US"/>
        </w:rPr>
      </w:pPr>
    </w:p>
    <w:p w14:paraId="00A88A5B" w14:textId="77777777" w:rsidR="00465BBD" w:rsidRPr="008F3DEF" w:rsidRDefault="00465BBD" w:rsidP="00465BBD">
      <w:pPr>
        <w:spacing w:after="0" w:line="240" w:lineRule="auto"/>
        <w:rPr>
          <w:rFonts w:ascii="Times New Roman" w:eastAsia="Times New Roman" w:hAnsi="Times New Roman" w:cs="Times New Roman"/>
          <w:sz w:val="24"/>
          <w:szCs w:val="24"/>
          <w:lang w:val="es-US"/>
        </w:rPr>
      </w:pPr>
      <w:r w:rsidRPr="008F3DEF">
        <w:rPr>
          <w:rFonts w:ascii="Times New Roman" w:hAnsi="Times New Roman"/>
          <w:sz w:val="24"/>
          <w:lang w:val="es-US"/>
        </w:rPr>
        <w:t>&lt;regla&gt;</w:t>
      </w:r>
    </w:p>
    <w:p w14:paraId="5CD06F9E" w14:textId="77777777" w:rsidR="00465BBD" w:rsidRPr="008F3DEF" w:rsidRDefault="00465BBD" w:rsidP="00465BBD">
      <w:pPr>
        <w:spacing w:after="0" w:line="240" w:lineRule="auto"/>
        <w:rPr>
          <w:rFonts w:ascii="Times New Roman" w:eastAsia="Times New Roman" w:hAnsi="Times New Roman" w:cs="Times New Roman"/>
          <w:sz w:val="24"/>
          <w:szCs w:val="24"/>
          <w:lang w:val="es-US"/>
        </w:rPr>
      </w:pPr>
    </w:p>
    <w:p w14:paraId="4356E0D5" w14:textId="77777777" w:rsidR="008F1F96" w:rsidRPr="008F3DEF" w:rsidRDefault="00465BBD" w:rsidP="008F1F96">
      <w:pPr>
        <w:rPr>
          <w:rFonts w:ascii="Times New Roman" w:eastAsia="Times New Roman" w:hAnsi="Times New Roman" w:cs="Times New Roman"/>
          <w:sz w:val="24"/>
          <w:szCs w:val="24"/>
          <w:lang w:val="es-US"/>
        </w:rPr>
      </w:pPr>
      <w:r w:rsidRPr="008F3DEF">
        <w:rPr>
          <w:rFonts w:ascii="Times New Roman" w:hAnsi="Times New Roman"/>
          <w:sz w:val="24"/>
          <w:lang w:val="es-US"/>
        </w:rPr>
        <w:t>§115.20. Comité Asesor de Higiene Dental – Propósito y composición.</w:t>
      </w:r>
    </w:p>
    <w:p w14:paraId="76FC27EA" w14:textId="77777777" w:rsidR="00465BBD" w:rsidRPr="008F3DEF" w:rsidRDefault="00465BBD" w:rsidP="00465BBD">
      <w:pPr>
        <w:spacing w:after="0" w:line="240" w:lineRule="auto"/>
        <w:rPr>
          <w:rFonts w:ascii="Times New Roman" w:eastAsia="Times New Roman" w:hAnsi="Times New Roman" w:cs="Times New Roman"/>
          <w:sz w:val="24"/>
          <w:szCs w:val="24"/>
          <w:lang w:val="es-US"/>
        </w:rPr>
      </w:pPr>
    </w:p>
    <w:p w14:paraId="4294225C" w14:textId="77777777" w:rsidR="002B66B9" w:rsidRPr="008F3DEF" w:rsidRDefault="002B66B9" w:rsidP="00465BBD">
      <w:pPr>
        <w:rPr>
          <w:lang w:val="es-US"/>
        </w:rPr>
      </w:pPr>
    </w:p>
    <w:sectPr w:rsidR="002B66B9" w:rsidRPr="008F3D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B556C"/>
    <w:multiLevelType w:val="hybridMultilevel"/>
    <w:tmpl w:val="8BEC552C"/>
    <w:lvl w:ilvl="0" w:tplc="E4D2CD66">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F35491AE"/>
    <w:lvl w:ilvl="0" w:tplc="53DA3636">
      <w:start w:val="1"/>
      <w:numFmt w:val="lowerRoman"/>
      <w:lvlText w:val="(%1)"/>
      <w:lvlJc w:val="left"/>
      <w:pPr>
        <w:ind w:left="1080" w:hanging="720"/>
      </w:pPr>
      <w:rPr>
        <w:rFonts w:hint="default"/>
        <w:strik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5032DD"/>
    <w:multiLevelType w:val="hybridMultilevel"/>
    <w:tmpl w:val="18C6A4EE"/>
    <w:lvl w:ilvl="0" w:tplc="BE542DE8">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4"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C811FD"/>
    <w:multiLevelType w:val="hybridMultilevel"/>
    <w:tmpl w:val="EEF4AA2A"/>
    <w:lvl w:ilvl="0" w:tplc="B5F4DDA0">
      <w:start w:val="1"/>
      <w:numFmt w:val="decimal"/>
      <w:lvlText w:val="(%1)"/>
      <w:lvlJc w:val="left"/>
      <w:pPr>
        <w:ind w:left="720" w:hanging="360"/>
      </w:pPr>
      <w:rPr>
        <w:rFonts w:hint="default"/>
        <w:u w:val="singl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5649123">
    <w:abstractNumId w:val="3"/>
  </w:num>
  <w:num w:numId="2" w16cid:durableId="948464438">
    <w:abstractNumId w:val="4"/>
  </w:num>
  <w:num w:numId="3" w16cid:durableId="1260332273">
    <w:abstractNumId w:val="1"/>
  </w:num>
  <w:num w:numId="4" w16cid:durableId="852648839">
    <w:abstractNumId w:val="5"/>
  </w:num>
  <w:num w:numId="5" w16cid:durableId="2069569842">
    <w:abstractNumId w:val="2"/>
  </w:num>
  <w:num w:numId="6" w16cid:durableId="1863128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51C43"/>
    <w:rsid w:val="00054B7F"/>
    <w:rsid w:val="000A1C7D"/>
    <w:rsid w:val="000E0318"/>
    <w:rsid w:val="00103DD2"/>
    <w:rsid w:val="00147199"/>
    <w:rsid w:val="00266B5C"/>
    <w:rsid w:val="002B66B9"/>
    <w:rsid w:val="0030029B"/>
    <w:rsid w:val="003256FB"/>
    <w:rsid w:val="003428A0"/>
    <w:rsid w:val="003655B3"/>
    <w:rsid w:val="00380CE5"/>
    <w:rsid w:val="003F58A4"/>
    <w:rsid w:val="004516EC"/>
    <w:rsid w:val="00465BBD"/>
    <w:rsid w:val="00471B94"/>
    <w:rsid w:val="004872E0"/>
    <w:rsid w:val="004F047B"/>
    <w:rsid w:val="005417A8"/>
    <w:rsid w:val="005576F5"/>
    <w:rsid w:val="006B5603"/>
    <w:rsid w:val="006F034A"/>
    <w:rsid w:val="00741B01"/>
    <w:rsid w:val="00761C09"/>
    <w:rsid w:val="00762CD5"/>
    <w:rsid w:val="00814C70"/>
    <w:rsid w:val="00844BE6"/>
    <w:rsid w:val="008C48FC"/>
    <w:rsid w:val="008F1F96"/>
    <w:rsid w:val="008F3DEF"/>
    <w:rsid w:val="00A418A5"/>
    <w:rsid w:val="00B270C1"/>
    <w:rsid w:val="00B601D3"/>
    <w:rsid w:val="00B91682"/>
    <w:rsid w:val="00C130BF"/>
    <w:rsid w:val="00C452EC"/>
    <w:rsid w:val="00C502EE"/>
    <w:rsid w:val="00C6074A"/>
    <w:rsid w:val="00CA6F6A"/>
    <w:rsid w:val="00CA75A2"/>
    <w:rsid w:val="00CB73D8"/>
    <w:rsid w:val="00D3326F"/>
    <w:rsid w:val="00D36A17"/>
    <w:rsid w:val="00D42B82"/>
    <w:rsid w:val="00D479F1"/>
    <w:rsid w:val="00D57F05"/>
    <w:rsid w:val="00D6656E"/>
    <w:rsid w:val="00D90A37"/>
    <w:rsid w:val="00DD0FCE"/>
    <w:rsid w:val="00E12F25"/>
    <w:rsid w:val="00E5728D"/>
    <w:rsid w:val="00EF47B3"/>
    <w:rsid w:val="00F20159"/>
    <w:rsid w:val="00F3706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992E2"/>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Revision">
    <w:name w:val="Revision"/>
    <w:hidden/>
    <w:uiPriority w:val="99"/>
    <w:semiHidden/>
    <w:rsid w:val="00266B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294030">
      <w:bodyDiv w:val="1"/>
      <w:marLeft w:val="0"/>
      <w:marRight w:val="0"/>
      <w:marTop w:val="0"/>
      <w:marBottom w:val="0"/>
      <w:divBdr>
        <w:top w:val="none" w:sz="0" w:space="0" w:color="auto"/>
        <w:left w:val="none" w:sz="0" w:space="0" w:color="auto"/>
        <w:bottom w:val="none" w:sz="0" w:space="0" w:color="auto"/>
        <w:right w:val="none" w:sz="0" w:space="0" w:color="auto"/>
      </w:divBdr>
      <w:divsChild>
        <w:div w:id="52701177">
          <w:marLeft w:val="0"/>
          <w:marRight w:val="0"/>
          <w:marTop w:val="0"/>
          <w:marBottom w:val="0"/>
          <w:divBdr>
            <w:top w:val="none" w:sz="0" w:space="0" w:color="auto"/>
            <w:left w:val="none" w:sz="0" w:space="0" w:color="auto"/>
            <w:bottom w:val="none" w:sz="0" w:space="0" w:color="auto"/>
            <w:right w:val="none" w:sz="0" w:space="0" w:color="auto"/>
          </w:divBdr>
          <w:divsChild>
            <w:div w:id="102335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965444">
      <w:bodyDiv w:val="1"/>
      <w:marLeft w:val="0"/>
      <w:marRight w:val="0"/>
      <w:marTop w:val="0"/>
      <w:marBottom w:val="0"/>
      <w:divBdr>
        <w:top w:val="none" w:sz="0" w:space="0" w:color="auto"/>
        <w:left w:val="none" w:sz="0" w:space="0" w:color="auto"/>
        <w:bottom w:val="none" w:sz="0" w:space="0" w:color="auto"/>
        <w:right w:val="none" w:sz="0" w:space="0" w:color="auto"/>
      </w:divBdr>
      <w:divsChild>
        <w:div w:id="829250975">
          <w:marLeft w:val="0"/>
          <w:marRight w:val="0"/>
          <w:marTop w:val="0"/>
          <w:marBottom w:val="0"/>
          <w:divBdr>
            <w:top w:val="none" w:sz="0" w:space="0" w:color="auto"/>
            <w:left w:val="none" w:sz="0" w:space="0" w:color="auto"/>
            <w:bottom w:val="none" w:sz="0" w:space="0" w:color="auto"/>
            <w:right w:val="none" w:sz="0" w:space="0" w:color="auto"/>
          </w:divBdr>
          <w:divsChild>
            <w:div w:id="147404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615</Words>
  <Characters>3507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Mark Bonnett</cp:lastModifiedBy>
  <cp:revision>7</cp:revision>
  <dcterms:created xsi:type="dcterms:W3CDTF">2025-10-27T14:24:00Z</dcterms:created>
  <dcterms:modified xsi:type="dcterms:W3CDTF">2026-03-24T17:15:00Z</dcterms:modified>
</cp:coreProperties>
</file>