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E543E2" w14:textId="5D2DFF63" w:rsidR="001C11B8" w:rsidRPr="00695835" w:rsidRDefault="00465BBD" w:rsidP="00D25929">
      <w:pPr>
        <w:rPr>
          <w:rFonts w:ascii="Times New Roman" w:hAnsi="Times New Roman" w:cs="Times New Roman"/>
          <w:sz w:val="24"/>
          <w:szCs w:val="24"/>
        </w:rPr>
      </w:pPr>
      <w:r w:rsidRPr="00AF538A">
        <w:rPr>
          <w:rFonts w:ascii="Times New Roman" w:hAnsi="Times New Roman" w:cs="Times New Roman"/>
          <w:sz w:val="24"/>
          <w:szCs w:val="24"/>
        </w:rPr>
        <w:t xml:space="preserve">The State Board of Dental Examiners (Board) </w:t>
      </w:r>
      <w:r w:rsidR="006D2F1E">
        <w:rPr>
          <w:rFonts w:ascii="Times New Roman" w:hAnsi="Times New Roman" w:cs="Times New Roman"/>
          <w:sz w:val="24"/>
          <w:szCs w:val="24"/>
        </w:rPr>
        <w:t>proposes this amendment to</w:t>
      </w:r>
      <w:r w:rsidR="005B7AB8" w:rsidRPr="00AF538A">
        <w:rPr>
          <w:rFonts w:ascii="Times New Roman" w:hAnsi="Times New Roman" w:cs="Times New Roman"/>
          <w:sz w:val="24"/>
          <w:szCs w:val="24"/>
        </w:rPr>
        <w:t xml:space="preserve"> </w:t>
      </w:r>
      <w:r w:rsidRPr="00AF538A">
        <w:rPr>
          <w:rFonts w:ascii="Times New Roman" w:hAnsi="Times New Roman" w:cs="Times New Roman"/>
          <w:sz w:val="24"/>
          <w:szCs w:val="24"/>
        </w:rPr>
        <w:t xml:space="preserve">22 TAC </w:t>
      </w:r>
      <w:r w:rsidR="00C574FA" w:rsidRPr="00AF538A">
        <w:rPr>
          <w:rFonts w:ascii="Times New Roman" w:hAnsi="Times New Roman" w:cs="Times New Roman"/>
          <w:sz w:val="24"/>
          <w:szCs w:val="24"/>
        </w:rPr>
        <w:t>§</w:t>
      </w:r>
      <w:r w:rsidR="002F7783">
        <w:rPr>
          <w:rFonts w:ascii="Times New Roman" w:hAnsi="Times New Roman" w:cs="Times New Roman"/>
          <w:sz w:val="24"/>
          <w:szCs w:val="24"/>
        </w:rPr>
        <w:t>1</w:t>
      </w:r>
      <w:r w:rsidR="007B5A2E">
        <w:rPr>
          <w:rFonts w:ascii="Times New Roman" w:hAnsi="Times New Roman" w:cs="Times New Roman"/>
          <w:sz w:val="24"/>
          <w:szCs w:val="24"/>
        </w:rPr>
        <w:t>04.1</w:t>
      </w:r>
      <w:r w:rsidRPr="00AF538A">
        <w:rPr>
          <w:rFonts w:ascii="Times New Roman" w:hAnsi="Times New Roman" w:cs="Times New Roman"/>
          <w:sz w:val="24"/>
          <w:szCs w:val="24"/>
        </w:rPr>
        <w:t xml:space="preserve">, concerning </w:t>
      </w:r>
      <w:r w:rsidR="002F7783">
        <w:rPr>
          <w:rFonts w:ascii="Times New Roman" w:hAnsi="Times New Roman" w:cs="Times New Roman"/>
          <w:sz w:val="24"/>
          <w:szCs w:val="24"/>
        </w:rPr>
        <w:t xml:space="preserve">continuing education </w:t>
      </w:r>
      <w:r w:rsidR="007B5A2E">
        <w:rPr>
          <w:rFonts w:ascii="Times New Roman" w:hAnsi="Times New Roman" w:cs="Times New Roman"/>
          <w:sz w:val="24"/>
          <w:szCs w:val="24"/>
        </w:rPr>
        <w:t>requirements</w:t>
      </w:r>
      <w:r w:rsidRPr="00AF538A">
        <w:rPr>
          <w:rFonts w:ascii="Times New Roman" w:hAnsi="Times New Roman" w:cs="Times New Roman"/>
          <w:sz w:val="24"/>
          <w:szCs w:val="24"/>
        </w:rPr>
        <w:t xml:space="preserve">. </w:t>
      </w:r>
      <w:r w:rsidR="007C4752">
        <w:rPr>
          <w:rFonts w:ascii="Times New Roman" w:hAnsi="Times New Roman" w:cs="Times New Roman"/>
          <w:sz w:val="24"/>
          <w:szCs w:val="24"/>
        </w:rPr>
        <w:t xml:space="preserve">The proposed amendment </w:t>
      </w:r>
      <w:r w:rsidR="007B5A2E">
        <w:rPr>
          <w:rFonts w:ascii="Times New Roman" w:hAnsi="Times New Roman" w:cs="Times New Roman"/>
          <w:sz w:val="24"/>
          <w:szCs w:val="24"/>
        </w:rPr>
        <w:t xml:space="preserve">allows dentists and dental hygienists to reduce their 24-hour continuing education requirement by 2 hours if they </w:t>
      </w:r>
      <w:r w:rsidR="007B5A2E" w:rsidRPr="00A105B1">
        <w:rPr>
          <w:rFonts w:ascii="Times New Roman" w:hAnsi="Times New Roman" w:cs="Times New Roman"/>
          <w:sz w:val="24"/>
          <w:szCs w:val="24"/>
        </w:rPr>
        <w:t xml:space="preserve">attest they read all newsletters issued by the Texas State Board of Dental Examiners during their renewal </w:t>
      </w:r>
      <w:r w:rsidR="00A105B1">
        <w:rPr>
          <w:rFonts w:ascii="Times New Roman" w:hAnsi="Times New Roman" w:cs="Times New Roman"/>
          <w:sz w:val="24"/>
          <w:szCs w:val="24"/>
        </w:rPr>
        <w:t>period</w:t>
      </w:r>
      <w:r w:rsidR="007B5A2E" w:rsidRPr="00A105B1">
        <w:rPr>
          <w:rFonts w:ascii="Times New Roman" w:hAnsi="Times New Roman" w:cs="Times New Roman"/>
          <w:sz w:val="24"/>
          <w:szCs w:val="24"/>
        </w:rPr>
        <w:t>.</w:t>
      </w:r>
      <w:r w:rsidR="004F6EB8">
        <w:rPr>
          <w:rFonts w:ascii="Times New Roman" w:hAnsi="Times New Roman" w:cs="Times New Roman"/>
          <w:sz w:val="24"/>
          <w:szCs w:val="24"/>
        </w:rPr>
        <w:t xml:space="preserve"> </w:t>
      </w:r>
      <w:r w:rsidR="004F6EB8" w:rsidRPr="00695835">
        <w:rPr>
          <w:rFonts w:ascii="Times New Roman" w:hAnsi="Times New Roman" w:cs="Times New Roman"/>
          <w:sz w:val="24"/>
          <w:szCs w:val="24"/>
        </w:rPr>
        <w:t>Th</w:t>
      </w:r>
      <w:r w:rsidR="004F6EB8" w:rsidRPr="00695835">
        <w:rPr>
          <w:rFonts w:ascii="Times New Roman" w:hAnsi="Times New Roman" w:cs="Times New Roman"/>
          <w:sz w:val="24"/>
          <w:szCs w:val="24"/>
        </w:rPr>
        <w:t xml:space="preserve">e proposed amendment </w:t>
      </w:r>
      <w:r w:rsidR="004F6EB8" w:rsidRPr="00695835">
        <w:rPr>
          <w:rFonts w:ascii="Times New Roman" w:hAnsi="Times New Roman" w:cs="Times New Roman"/>
          <w:sz w:val="24"/>
          <w:szCs w:val="24"/>
        </w:rPr>
        <w:t>does not apply to the 16-hour technical and scientific requirement.</w:t>
      </w:r>
      <w:bookmarkStart w:id="0" w:name="_GoBack"/>
      <w:bookmarkEnd w:id="0"/>
    </w:p>
    <w:p w14:paraId="378B832B" w14:textId="77777777" w:rsidR="006E21E7" w:rsidRPr="00675328" w:rsidRDefault="006E21E7" w:rsidP="006E21E7">
      <w:pPr>
        <w:spacing w:after="0" w:line="240" w:lineRule="auto"/>
        <w:rPr>
          <w:rFonts w:ascii="Times New Roman" w:hAnsi="Times New Roman" w:cs="Times New Roman"/>
          <w:sz w:val="24"/>
          <w:szCs w:val="24"/>
        </w:rPr>
      </w:pPr>
      <w:r w:rsidRPr="00675328">
        <w:rPr>
          <w:rFonts w:ascii="Times New Roman" w:hAnsi="Times New Roman" w:cs="Times New Roman"/>
          <w:sz w:val="24"/>
          <w:szCs w:val="24"/>
        </w:rPr>
        <w:t xml:space="preserve">FISCAL NOTE: Casey Nichols, Executive Director, has determined that for the first five-year period the proposed rule is in effect, the proposed rule does not have foreseeable implications relating to cost or revenues of the state or local governments. </w:t>
      </w:r>
    </w:p>
    <w:p w14:paraId="7E33DBF0" w14:textId="77777777" w:rsidR="006E21E7" w:rsidRPr="00675328" w:rsidRDefault="006E21E7" w:rsidP="006E21E7">
      <w:pPr>
        <w:spacing w:after="0" w:line="240" w:lineRule="auto"/>
        <w:rPr>
          <w:rFonts w:ascii="Times New Roman" w:hAnsi="Times New Roman" w:cs="Times New Roman"/>
          <w:sz w:val="24"/>
          <w:szCs w:val="24"/>
        </w:rPr>
      </w:pPr>
    </w:p>
    <w:p w14:paraId="268985CB" w14:textId="52D1126D" w:rsidR="006E21E7" w:rsidRPr="00675328" w:rsidRDefault="006E21E7" w:rsidP="006E21E7">
      <w:pPr>
        <w:spacing w:after="0" w:line="240" w:lineRule="auto"/>
        <w:rPr>
          <w:rFonts w:ascii="Times New Roman" w:hAnsi="Times New Roman" w:cs="Times New Roman"/>
          <w:sz w:val="24"/>
          <w:szCs w:val="24"/>
        </w:rPr>
      </w:pPr>
      <w:r w:rsidRPr="00675328">
        <w:rPr>
          <w:rFonts w:ascii="Times New Roman" w:hAnsi="Times New Roman" w:cs="Times New Roman"/>
          <w:sz w:val="24"/>
          <w:szCs w:val="24"/>
        </w:rPr>
        <w:t xml:space="preserve">PUBLIC BENEFIT-COST NOTE: Casey Nichols has also determined that for the first five-year period the proposed rule is in effect, the public benefit anticipated as a result of this </w:t>
      </w:r>
      <w:r w:rsidR="00310B3D">
        <w:rPr>
          <w:rFonts w:ascii="Times New Roman" w:hAnsi="Times New Roman" w:cs="Times New Roman"/>
          <w:sz w:val="24"/>
          <w:szCs w:val="24"/>
        </w:rPr>
        <w:t xml:space="preserve">proposed </w:t>
      </w:r>
      <w:r w:rsidRPr="00675328">
        <w:rPr>
          <w:rFonts w:ascii="Times New Roman" w:hAnsi="Times New Roman" w:cs="Times New Roman"/>
          <w:sz w:val="24"/>
          <w:szCs w:val="24"/>
        </w:rPr>
        <w:t xml:space="preserve">rule will be the protection of public safety and welfare. </w:t>
      </w:r>
    </w:p>
    <w:p w14:paraId="04DE7D1D" w14:textId="77777777" w:rsidR="006E21E7" w:rsidRPr="00675328" w:rsidRDefault="006E21E7" w:rsidP="006E21E7">
      <w:pPr>
        <w:spacing w:after="0" w:line="240" w:lineRule="auto"/>
        <w:rPr>
          <w:rFonts w:ascii="Times New Roman" w:hAnsi="Times New Roman" w:cs="Times New Roman"/>
          <w:sz w:val="24"/>
          <w:szCs w:val="24"/>
        </w:rPr>
      </w:pPr>
    </w:p>
    <w:p w14:paraId="66727622" w14:textId="77777777" w:rsidR="006E21E7" w:rsidRPr="00675328" w:rsidRDefault="006E21E7" w:rsidP="006E21E7">
      <w:pPr>
        <w:spacing w:after="0" w:line="240" w:lineRule="auto"/>
        <w:rPr>
          <w:rFonts w:ascii="Times New Roman" w:hAnsi="Times New Roman" w:cs="Times New Roman"/>
          <w:sz w:val="24"/>
          <w:szCs w:val="24"/>
        </w:rPr>
      </w:pPr>
      <w:r w:rsidRPr="00675328">
        <w:rPr>
          <w:rFonts w:ascii="Times New Roman" w:hAnsi="Times New Roman" w:cs="Times New Roman"/>
          <w:sz w:val="24"/>
          <w:szCs w:val="24"/>
        </w:rPr>
        <w:t xml:space="preserve">LOCAL EMPLOYMENT IMPACT STATEMENT: Casey Nichols has also determined that the proposed rule does not affect local economies and employment. </w:t>
      </w:r>
    </w:p>
    <w:p w14:paraId="502AE3D2" w14:textId="77777777" w:rsidR="006E21E7" w:rsidRPr="00675328" w:rsidRDefault="006E21E7" w:rsidP="006E21E7">
      <w:pPr>
        <w:spacing w:after="0" w:line="240" w:lineRule="auto"/>
        <w:rPr>
          <w:rFonts w:ascii="Times New Roman" w:hAnsi="Times New Roman" w:cs="Times New Roman"/>
          <w:sz w:val="24"/>
          <w:szCs w:val="24"/>
        </w:rPr>
      </w:pPr>
    </w:p>
    <w:p w14:paraId="1872D798" w14:textId="7C0F7FEE" w:rsidR="006E21E7" w:rsidRPr="00675328" w:rsidRDefault="006E21E7" w:rsidP="006E21E7">
      <w:pPr>
        <w:spacing w:after="0" w:line="240" w:lineRule="auto"/>
        <w:rPr>
          <w:rFonts w:ascii="Times New Roman" w:hAnsi="Times New Roman" w:cs="Times New Roman"/>
          <w:sz w:val="24"/>
          <w:szCs w:val="24"/>
        </w:rPr>
      </w:pPr>
      <w:r w:rsidRPr="00675328">
        <w:rPr>
          <w:rFonts w:ascii="Times New Roman" w:hAnsi="Times New Roman" w:cs="Times New Roman"/>
          <w:sz w:val="24"/>
          <w:szCs w:val="24"/>
        </w:rPr>
        <w:t xml:space="preserve">SMALL AND MICRO-BUSINESS, RURAL COMMUNITY IMPACT STATEMENT: Casey Nichols has determined that no economic impact statement and regulatory flexibility analysis for small businesses, micro-businesses, and rural communities is necessary for this </w:t>
      </w:r>
      <w:r w:rsidR="00310B3D">
        <w:rPr>
          <w:rFonts w:ascii="Times New Roman" w:hAnsi="Times New Roman" w:cs="Times New Roman"/>
          <w:sz w:val="24"/>
          <w:szCs w:val="24"/>
        </w:rPr>
        <w:t xml:space="preserve">proposed </w:t>
      </w:r>
      <w:r w:rsidRPr="00675328">
        <w:rPr>
          <w:rFonts w:ascii="Times New Roman" w:hAnsi="Times New Roman" w:cs="Times New Roman"/>
          <w:sz w:val="24"/>
          <w:szCs w:val="24"/>
        </w:rPr>
        <w:t xml:space="preserve">rule. </w:t>
      </w:r>
    </w:p>
    <w:p w14:paraId="08C58FB4" w14:textId="77777777" w:rsidR="006E21E7" w:rsidRPr="00675328" w:rsidRDefault="006E21E7" w:rsidP="006E21E7">
      <w:pPr>
        <w:spacing w:after="0" w:line="240" w:lineRule="auto"/>
        <w:rPr>
          <w:rFonts w:ascii="Times New Roman" w:hAnsi="Times New Roman" w:cs="Times New Roman"/>
          <w:sz w:val="24"/>
          <w:szCs w:val="24"/>
        </w:rPr>
      </w:pPr>
    </w:p>
    <w:p w14:paraId="1E26A9AF" w14:textId="77777777" w:rsidR="006E21E7" w:rsidRDefault="006E21E7" w:rsidP="006E21E7">
      <w:pPr>
        <w:spacing w:after="0" w:line="240" w:lineRule="auto"/>
        <w:rPr>
          <w:rFonts w:ascii="Times New Roman" w:hAnsi="Times New Roman" w:cs="Times New Roman"/>
          <w:sz w:val="24"/>
          <w:szCs w:val="24"/>
        </w:rPr>
      </w:pPr>
      <w:r w:rsidRPr="00675328">
        <w:rPr>
          <w:rFonts w:ascii="Times New Roman" w:hAnsi="Times New Roman" w:cs="Times New Roman"/>
          <w:sz w:val="24"/>
          <w:szCs w:val="24"/>
        </w:rPr>
        <w:t xml:space="preserve">GOVERNMENT GROWTH IMPACT STATEMENT: The Board has determined that for the first five-year period the proposed rule is in effect, the following government growth effects apply: (1) the </w:t>
      </w:r>
      <w:r>
        <w:rPr>
          <w:rFonts w:ascii="Times New Roman" w:hAnsi="Times New Roman" w:cs="Times New Roman"/>
          <w:sz w:val="24"/>
          <w:szCs w:val="24"/>
        </w:rPr>
        <w:t xml:space="preserve">proposed </w:t>
      </w:r>
      <w:r w:rsidRPr="00675328">
        <w:rPr>
          <w:rFonts w:ascii="Times New Roman" w:hAnsi="Times New Roman" w:cs="Times New Roman"/>
          <w:sz w:val="24"/>
          <w:szCs w:val="24"/>
        </w:rPr>
        <w:t xml:space="preserve">rule does not create or eliminate a government program; </w:t>
      </w:r>
    </w:p>
    <w:p w14:paraId="4C486861" w14:textId="3DCEA319" w:rsidR="006E21E7" w:rsidRPr="00D57533" w:rsidRDefault="006E21E7" w:rsidP="006E21E7">
      <w:pPr>
        <w:spacing w:after="0" w:line="240" w:lineRule="auto"/>
        <w:rPr>
          <w:rFonts w:ascii="Times New Roman" w:hAnsi="Times New Roman" w:cs="Times New Roman"/>
          <w:sz w:val="24"/>
          <w:szCs w:val="24"/>
        </w:rPr>
      </w:pPr>
      <w:r w:rsidRPr="00594F2B">
        <w:rPr>
          <w:rFonts w:ascii="Times New Roman" w:hAnsi="Times New Roman" w:cs="Times New Roman"/>
          <w:sz w:val="24"/>
          <w:szCs w:val="24"/>
        </w:rPr>
        <w:t xml:space="preserve">(2) </w:t>
      </w:r>
      <w:r w:rsidR="00310B3D">
        <w:rPr>
          <w:rFonts w:ascii="Times New Roman" w:hAnsi="Times New Roman" w:cs="Times New Roman"/>
          <w:sz w:val="24"/>
          <w:szCs w:val="24"/>
        </w:rPr>
        <w:t>implementation of the proposed rule does not require the creation or elimination of employee positions;</w:t>
      </w:r>
      <w:r w:rsidRPr="00594F2B">
        <w:rPr>
          <w:rFonts w:ascii="Times New Roman" w:hAnsi="Times New Roman" w:cs="Times New Roman"/>
          <w:sz w:val="24"/>
          <w:szCs w:val="24"/>
        </w:rPr>
        <w:t xml:space="preserve"> (3) </w:t>
      </w:r>
      <w:r w:rsidR="00310B3D">
        <w:rPr>
          <w:rFonts w:ascii="Times New Roman" w:hAnsi="Times New Roman" w:cs="Times New Roman"/>
          <w:sz w:val="24"/>
          <w:szCs w:val="24"/>
        </w:rPr>
        <w:t xml:space="preserve">implementation of the proposed rule does not require an increase or decrease in future </w:t>
      </w:r>
      <w:r w:rsidR="00310B3D" w:rsidRPr="00D57533">
        <w:rPr>
          <w:rFonts w:ascii="Times New Roman" w:hAnsi="Times New Roman" w:cs="Times New Roman"/>
          <w:sz w:val="24"/>
          <w:szCs w:val="24"/>
        </w:rPr>
        <w:t xml:space="preserve">appropriations; </w:t>
      </w:r>
      <w:r w:rsidRPr="00D57533">
        <w:rPr>
          <w:rFonts w:ascii="Times New Roman" w:hAnsi="Times New Roman" w:cs="Times New Roman"/>
          <w:sz w:val="24"/>
          <w:szCs w:val="24"/>
        </w:rPr>
        <w:t xml:space="preserve">(4) the proposed rule does </w:t>
      </w:r>
      <w:r w:rsidR="001C11B8">
        <w:rPr>
          <w:rFonts w:ascii="Times New Roman" w:hAnsi="Times New Roman" w:cs="Times New Roman"/>
          <w:sz w:val="24"/>
          <w:szCs w:val="24"/>
        </w:rPr>
        <w:t xml:space="preserve">not </w:t>
      </w:r>
      <w:r w:rsidRPr="00D57533">
        <w:rPr>
          <w:rFonts w:ascii="Times New Roman" w:hAnsi="Times New Roman" w:cs="Times New Roman"/>
          <w:sz w:val="24"/>
          <w:szCs w:val="24"/>
        </w:rPr>
        <w:t>require an increase in fees paid to the agency</w:t>
      </w:r>
      <w:r w:rsidR="001C11B8">
        <w:rPr>
          <w:rFonts w:ascii="Times New Roman" w:hAnsi="Times New Roman" w:cs="Times New Roman"/>
          <w:sz w:val="24"/>
          <w:szCs w:val="24"/>
        </w:rPr>
        <w:t xml:space="preserve">; </w:t>
      </w:r>
      <w:r w:rsidRPr="00D57533">
        <w:rPr>
          <w:rFonts w:ascii="Times New Roman" w:hAnsi="Times New Roman" w:cs="Times New Roman"/>
          <w:sz w:val="24"/>
          <w:szCs w:val="24"/>
        </w:rPr>
        <w:t xml:space="preserve">(5) the proposed rule </w:t>
      </w:r>
      <w:r w:rsidR="000322BD" w:rsidRPr="00D57533">
        <w:rPr>
          <w:rFonts w:ascii="Times New Roman" w:hAnsi="Times New Roman" w:cs="Times New Roman"/>
          <w:sz w:val="24"/>
          <w:szCs w:val="24"/>
        </w:rPr>
        <w:t>creates</w:t>
      </w:r>
      <w:r w:rsidRPr="00D57533">
        <w:rPr>
          <w:rFonts w:ascii="Times New Roman" w:hAnsi="Times New Roman" w:cs="Times New Roman"/>
          <w:sz w:val="24"/>
          <w:szCs w:val="24"/>
        </w:rPr>
        <w:t xml:space="preserve"> a new regulation; (6) the proposed rule does not expand an existing regulation; (7) the proposed rule does </w:t>
      </w:r>
      <w:r w:rsidR="00310B3D" w:rsidRPr="00D57533">
        <w:rPr>
          <w:rFonts w:ascii="Times New Roman" w:hAnsi="Times New Roman" w:cs="Times New Roman"/>
          <w:sz w:val="24"/>
          <w:szCs w:val="24"/>
        </w:rPr>
        <w:t xml:space="preserve">not </w:t>
      </w:r>
      <w:r w:rsidRPr="00D57533">
        <w:rPr>
          <w:rFonts w:ascii="Times New Roman" w:hAnsi="Times New Roman" w:cs="Times New Roman"/>
          <w:sz w:val="24"/>
          <w:szCs w:val="24"/>
        </w:rPr>
        <w:t xml:space="preserve">increase the number of individuals subject to the rule’s applicability; and (8) the proposed rule does not positively or adversely affect the state’s economy. </w:t>
      </w:r>
    </w:p>
    <w:p w14:paraId="673D5A47" w14:textId="77777777" w:rsidR="006E21E7" w:rsidRPr="00675328" w:rsidRDefault="006E21E7" w:rsidP="006E21E7">
      <w:pPr>
        <w:spacing w:after="0" w:line="240" w:lineRule="auto"/>
        <w:rPr>
          <w:rFonts w:ascii="Times New Roman" w:hAnsi="Times New Roman" w:cs="Times New Roman"/>
          <w:sz w:val="24"/>
          <w:szCs w:val="24"/>
        </w:rPr>
      </w:pPr>
    </w:p>
    <w:p w14:paraId="37BD3A6C" w14:textId="77777777" w:rsidR="006E21E7" w:rsidRPr="00675328" w:rsidRDefault="006E21E7" w:rsidP="006E21E7">
      <w:pPr>
        <w:spacing w:after="0" w:line="240" w:lineRule="auto"/>
        <w:rPr>
          <w:rFonts w:ascii="Times New Roman" w:hAnsi="Times New Roman" w:cs="Times New Roman"/>
          <w:sz w:val="24"/>
          <w:szCs w:val="24"/>
        </w:rPr>
      </w:pPr>
      <w:r w:rsidRPr="00675328">
        <w:rPr>
          <w:rFonts w:ascii="Times New Roman" w:hAnsi="Times New Roman" w:cs="Times New Roman"/>
          <w:sz w:val="24"/>
          <w:szCs w:val="24"/>
        </w:rPr>
        <w:t xml:space="preserve">Comments on the </w:t>
      </w:r>
      <w:r>
        <w:rPr>
          <w:rFonts w:ascii="Times New Roman" w:hAnsi="Times New Roman" w:cs="Times New Roman"/>
          <w:sz w:val="24"/>
          <w:szCs w:val="24"/>
        </w:rPr>
        <w:t>proposed rule</w:t>
      </w:r>
      <w:r w:rsidRPr="00675328">
        <w:rPr>
          <w:rFonts w:ascii="Times New Roman" w:hAnsi="Times New Roman" w:cs="Times New Roman"/>
          <w:sz w:val="24"/>
          <w:szCs w:val="24"/>
        </w:rPr>
        <w:t xml:space="preserve"> may be submitted to Casey Nichols, Executive Director, 1801 Congress Avenue, Suite 8.600, Austin, Texas 78701, by fax to (512) 649-2482, or by email to official_rules_comments@tsbde.texas.gov for 30 days following the date that the proposed rule is published in the </w:t>
      </w:r>
      <w:r w:rsidRPr="00675328">
        <w:rPr>
          <w:rFonts w:ascii="Times New Roman" w:hAnsi="Times New Roman" w:cs="Times New Roman"/>
          <w:i/>
          <w:iCs/>
          <w:sz w:val="24"/>
          <w:szCs w:val="24"/>
        </w:rPr>
        <w:t>Texas Register</w:t>
      </w:r>
      <w:r w:rsidRPr="00675328">
        <w:rPr>
          <w:rFonts w:ascii="Times New Roman" w:hAnsi="Times New Roman" w:cs="Times New Roman"/>
          <w:sz w:val="24"/>
          <w:szCs w:val="24"/>
        </w:rPr>
        <w:t xml:space="preserve">. To be considered for purposes of this rulemaking, comments must be: (1) postmarked or shipped by the last day of the comment period; or (2) faxed or e-mailed by midnight on the last day of the comment period. </w:t>
      </w:r>
    </w:p>
    <w:p w14:paraId="717718E6" w14:textId="77777777" w:rsidR="006E21E7" w:rsidRPr="00675328" w:rsidRDefault="006E21E7" w:rsidP="006E21E7">
      <w:pPr>
        <w:spacing w:after="0" w:line="240" w:lineRule="auto"/>
        <w:rPr>
          <w:rFonts w:ascii="Times New Roman" w:hAnsi="Times New Roman" w:cs="Times New Roman"/>
          <w:sz w:val="24"/>
          <w:szCs w:val="24"/>
        </w:rPr>
      </w:pPr>
    </w:p>
    <w:p w14:paraId="01031D54" w14:textId="71CA9D49" w:rsidR="006E21E7" w:rsidRDefault="006E21E7" w:rsidP="006E21E7">
      <w:pPr>
        <w:spacing w:after="0" w:line="240" w:lineRule="auto"/>
        <w:rPr>
          <w:rFonts w:ascii="Times New Roman" w:hAnsi="Times New Roman" w:cs="Times New Roman"/>
          <w:sz w:val="24"/>
          <w:szCs w:val="24"/>
        </w:rPr>
      </w:pPr>
      <w:r w:rsidRPr="00675328">
        <w:rPr>
          <w:rFonts w:ascii="Times New Roman" w:hAnsi="Times New Roman" w:cs="Times New Roman"/>
          <w:sz w:val="24"/>
          <w:szCs w:val="24"/>
        </w:rPr>
        <w:t>This rule is proposed under Texas Occupations Code §254.001(a), which gives the Board authority to adopt rules necessary to perform its duties and ensure compliance with state laws relating to the practice of dentistry to protect the public health and safety</w:t>
      </w:r>
      <w:r w:rsidR="00A45E82">
        <w:rPr>
          <w:rFonts w:ascii="Times New Roman" w:hAnsi="Times New Roman" w:cs="Times New Roman"/>
          <w:sz w:val="24"/>
          <w:szCs w:val="24"/>
        </w:rPr>
        <w:t xml:space="preserve">. </w:t>
      </w:r>
    </w:p>
    <w:p w14:paraId="6F88D709" w14:textId="77777777" w:rsidR="006E21E7" w:rsidRPr="00675328" w:rsidRDefault="006E21E7" w:rsidP="006E21E7">
      <w:pPr>
        <w:spacing w:after="0" w:line="240" w:lineRule="auto"/>
        <w:rPr>
          <w:rFonts w:ascii="Times New Roman" w:hAnsi="Times New Roman" w:cs="Times New Roman"/>
          <w:sz w:val="24"/>
          <w:szCs w:val="24"/>
        </w:rPr>
      </w:pPr>
    </w:p>
    <w:p w14:paraId="6F840892" w14:textId="2C3B20C1" w:rsidR="006700BE" w:rsidRDefault="00310B3D" w:rsidP="00CB1069">
      <w:pPr>
        <w:spacing w:after="0" w:line="240" w:lineRule="auto"/>
        <w:rPr>
          <w:rFonts w:ascii="Times New Roman" w:hAnsi="Times New Roman" w:cs="Times New Roman"/>
          <w:sz w:val="24"/>
          <w:szCs w:val="24"/>
        </w:rPr>
      </w:pPr>
      <w:r>
        <w:rPr>
          <w:rFonts w:ascii="Times New Roman" w:hAnsi="Times New Roman" w:cs="Times New Roman"/>
          <w:sz w:val="24"/>
          <w:szCs w:val="24"/>
        </w:rPr>
        <w:t>No statutes are affected by this proposed rule.</w:t>
      </w:r>
    </w:p>
    <w:p w14:paraId="73646460" w14:textId="77777777" w:rsidR="000322BD" w:rsidRPr="00AF538A" w:rsidRDefault="000322BD" w:rsidP="00CB1069">
      <w:pPr>
        <w:spacing w:after="0" w:line="240" w:lineRule="auto"/>
        <w:rPr>
          <w:rFonts w:ascii="Times New Roman" w:hAnsi="Times New Roman" w:cs="Times New Roman"/>
          <w:sz w:val="24"/>
          <w:szCs w:val="24"/>
        </w:rPr>
      </w:pPr>
    </w:p>
    <w:p w14:paraId="426B9A32" w14:textId="18B420AE" w:rsidR="00CB1069" w:rsidRPr="00AF538A" w:rsidRDefault="00CB1069" w:rsidP="00CB1069">
      <w:pPr>
        <w:spacing w:after="0" w:line="240" w:lineRule="auto"/>
        <w:rPr>
          <w:rFonts w:ascii="Times New Roman" w:hAnsi="Times New Roman" w:cs="Times New Roman"/>
          <w:sz w:val="24"/>
          <w:szCs w:val="24"/>
        </w:rPr>
      </w:pPr>
      <w:r w:rsidRPr="00AF538A">
        <w:rPr>
          <w:rFonts w:ascii="Times New Roman" w:hAnsi="Times New Roman" w:cs="Times New Roman"/>
          <w:sz w:val="24"/>
          <w:szCs w:val="24"/>
        </w:rPr>
        <w:lastRenderedPageBreak/>
        <w:t xml:space="preserve">Legal counsel for the Board has reviewed the </w:t>
      </w:r>
      <w:r w:rsidR="002F7783">
        <w:rPr>
          <w:rFonts w:ascii="Times New Roman" w:hAnsi="Times New Roman" w:cs="Times New Roman"/>
          <w:sz w:val="24"/>
          <w:szCs w:val="24"/>
        </w:rPr>
        <w:t>proposed</w:t>
      </w:r>
      <w:r w:rsidRPr="00AF538A">
        <w:rPr>
          <w:rFonts w:ascii="Times New Roman" w:hAnsi="Times New Roman" w:cs="Times New Roman"/>
          <w:sz w:val="24"/>
          <w:szCs w:val="24"/>
        </w:rPr>
        <w:t xml:space="preserve"> rule and has found it to be within the Board's authority to adopt.</w:t>
      </w:r>
    </w:p>
    <w:p w14:paraId="240DF7A8" w14:textId="77777777" w:rsidR="00465BBD" w:rsidRPr="00AF538A" w:rsidRDefault="00465BBD" w:rsidP="00465BBD">
      <w:pPr>
        <w:spacing w:after="0" w:line="240" w:lineRule="auto"/>
        <w:rPr>
          <w:rFonts w:ascii="Times New Roman" w:hAnsi="Times New Roman" w:cs="Times New Roman"/>
          <w:sz w:val="24"/>
          <w:szCs w:val="24"/>
        </w:rPr>
      </w:pPr>
    </w:p>
    <w:p w14:paraId="46E2BBF3" w14:textId="77777777" w:rsidR="00465BBD" w:rsidRPr="00AF538A" w:rsidRDefault="00465BBD" w:rsidP="00465BBD">
      <w:pPr>
        <w:spacing w:after="0" w:line="240" w:lineRule="auto"/>
        <w:rPr>
          <w:rFonts w:ascii="Times New Roman" w:eastAsia="Times New Roman" w:hAnsi="Times New Roman" w:cs="Times New Roman"/>
          <w:sz w:val="24"/>
          <w:szCs w:val="24"/>
        </w:rPr>
      </w:pPr>
      <w:r w:rsidRPr="00AF538A">
        <w:rPr>
          <w:rFonts w:ascii="Times New Roman" w:eastAsia="Times New Roman" w:hAnsi="Times New Roman" w:cs="Times New Roman"/>
          <w:sz w:val="24"/>
          <w:szCs w:val="24"/>
        </w:rPr>
        <w:t>&lt;rule&gt;</w:t>
      </w:r>
    </w:p>
    <w:p w14:paraId="035143E8" w14:textId="77777777" w:rsidR="00171F70" w:rsidRPr="00AF538A" w:rsidRDefault="00171F70" w:rsidP="00465BBD">
      <w:pPr>
        <w:spacing w:after="0" w:line="240" w:lineRule="auto"/>
        <w:rPr>
          <w:rFonts w:ascii="Times New Roman" w:eastAsia="Times New Roman" w:hAnsi="Times New Roman" w:cs="Times New Roman"/>
          <w:sz w:val="24"/>
          <w:szCs w:val="24"/>
        </w:rPr>
      </w:pPr>
    </w:p>
    <w:p w14:paraId="5FA6BA9A" w14:textId="03C493CF" w:rsidR="00465BBD" w:rsidRDefault="00465BBD" w:rsidP="00465BBD">
      <w:pPr>
        <w:spacing w:after="0" w:line="240" w:lineRule="auto"/>
        <w:rPr>
          <w:rFonts w:ascii="Times New Roman" w:eastAsia="Times New Roman" w:hAnsi="Times New Roman" w:cs="Times New Roman"/>
          <w:sz w:val="24"/>
          <w:szCs w:val="24"/>
        </w:rPr>
      </w:pPr>
      <w:r w:rsidRPr="00AF538A">
        <w:rPr>
          <w:rFonts w:ascii="Times New Roman" w:eastAsia="Times New Roman" w:hAnsi="Times New Roman" w:cs="Times New Roman"/>
          <w:sz w:val="24"/>
          <w:szCs w:val="24"/>
        </w:rPr>
        <w:t>§1</w:t>
      </w:r>
      <w:r w:rsidR="00AF45FA">
        <w:rPr>
          <w:rFonts w:ascii="Times New Roman" w:eastAsia="Times New Roman" w:hAnsi="Times New Roman" w:cs="Times New Roman"/>
          <w:sz w:val="24"/>
          <w:szCs w:val="24"/>
        </w:rPr>
        <w:t>04.1</w:t>
      </w:r>
      <w:r w:rsidR="00C96851">
        <w:rPr>
          <w:rFonts w:ascii="Times New Roman" w:eastAsia="Times New Roman" w:hAnsi="Times New Roman" w:cs="Times New Roman"/>
          <w:sz w:val="24"/>
          <w:szCs w:val="24"/>
        </w:rPr>
        <w:t>.</w:t>
      </w:r>
      <w:r w:rsidRPr="00AF538A">
        <w:rPr>
          <w:rFonts w:ascii="Times New Roman" w:eastAsia="Times New Roman" w:hAnsi="Times New Roman" w:cs="Times New Roman"/>
          <w:sz w:val="24"/>
          <w:szCs w:val="24"/>
        </w:rPr>
        <w:t xml:space="preserve"> </w:t>
      </w:r>
      <w:r w:rsidR="00643D5F">
        <w:rPr>
          <w:rFonts w:ascii="Times New Roman" w:eastAsia="Times New Roman" w:hAnsi="Times New Roman" w:cs="Times New Roman"/>
          <w:sz w:val="24"/>
          <w:szCs w:val="24"/>
        </w:rPr>
        <w:t>Co</w:t>
      </w:r>
      <w:r w:rsidR="002F7783">
        <w:rPr>
          <w:rFonts w:ascii="Times New Roman" w:eastAsia="Times New Roman" w:hAnsi="Times New Roman" w:cs="Times New Roman"/>
          <w:sz w:val="24"/>
          <w:szCs w:val="24"/>
        </w:rPr>
        <w:t xml:space="preserve">ntinuing Education </w:t>
      </w:r>
      <w:r w:rsidR="00AF45FA">
        <w:rPr>
          <w:rFonts w:ascii="Times New Roman" w:eastAsia="Times New Roman" w:hAnsi="Times New Roman" w:cs="Times New Roman"/>
          <w:sz w:val="24"/>
          <w:szCs w:val="24"/>
        </w:rPr>
        <w:t>Requirements</w:t>
      </w:r>
      <w:r w:rsidRPr="00AF538A">
        <w:rPr>
          <w:rFonts w:ascii="Times New Roman" w:eastAsia="Times New Roman" w:hAnsi="Times New Roman" w:cs="Times New Roman"/>
          <w:sz w:val="24"/>
          <w:szCs w:val="24"/>
        </w:rPr>
        <w:t>.</w:t>
      </w:r>
    </w:p>
    <w:p w14:paraId="62D6448B" w14:textId="51108626" w:rsidR="00C96851" w:rsidRDefault="00C96851" w:rsidP="00465BBD">
      <w:pPr>
        <w:spacing w:after="0" w:line="240" w:lineRule="auto"/>
        <w:rPr>
          <w:rFonts w:ascii="Times New Roman" w:eastAsia="Times New Roman" w:hAnsi="Times New Roman" w:cs="Times New Roman"/>
          <w:sz w:val="24"/>
          <w:szCs w:val="24"/>
        </w:rPr>
      </w:pPr>
    </w:p>
    <w:p w14:paraId="1A0BEA33" w14:textId="271FD962" w:rsidR="00AF45FA" w:rsidRPr="00AF45FA" w:rsidRDefault="00AF45FA" w:rsidP="00AF45FA">
      <w:pPr>
        <w:rPr>
          <w:rFonts w:ascii="Times New Roman" w:hAnsi="Times New Roman" w:cs="Times New Roman"/>
          <w:sz w:val="24"/>
          <w:szCs w:val="24"/>
        </w:rPr>
      </w:pPr>
      <w:r w:rsidRPr="00AF45FA">
        <w:rPr>
          <w:rFonts w:ascii="Times New Roman" w:hAnsi="Times New Roman" w:cs="Times New Roman"/>
          <w:sz w:val="24"/>
          <w:szCs w:val="24"/>
        </w:rPr>
        <w:t>As a prerequisite to the biennial renewal of a dental or dental hygiene license, proof of completion of 24 hours of acceptable continuing education is required.</w:t>
      </w:r>
    </w:p>
    <w:p w14:paraId="562464A4" w14:textId="77777777" w:rsidR="00AF45FA" w:rsidRPr="00AF45FA" w:rsidRDefault="00AF45FA" w:rsidP="00AF45FA">
      <w:pPr>
        <w:rPr>
          <w:rFonts w:ascii="Times New Roman" w:hAnsi="Times New Roman" w:cs="Times New Roman"/>
          <w:sz w:val="24"/>
          <w:szCs w:val="24"/>
        </w:rPr>
      </w:pPr>
      <w:r w:rsidRPr="00AF45FA">
        <w:rPr>
          <w:rFonts w:ascii="Times New Roman" w:hAnsi="Times New Roman" w:cs="Times New Roman"/>
          <w:sz w:val="24"/>
          <w:szCs w:val="24"/>
        </w:rPr>
        <w:t xml:space="preserve">  (1) Each licensee shall select and participate in the continuing education courses endorsed by the providers identified in §104.2 of this title (relating to Providers). A licensee, other than a licensee who resides outside of the United States, who is unable to meet education course requirements may request that alternative courses or procedures be approved by the Licensing Committee.</w:t>
      </w:r>
    </w:p>
    <w:p w14:paraId="4D35D7AC" w14:textId="77777777" w:rsidR="00AF45FA" w:rsidRPr="00AF45FA" w:rsidRDefault="00AF45FA" w:rsidP="00AF45FA">
      <w:pPr>
        <w:rPr>
          <w:rFonts w:ascii="Times New Roman" w:hAnsi="Times New Roman" w:cs="Times New Roman"/>
          <w:sz w:val="24"/>
          <w:szCs w:val="24"/>
        </w:rPr>
      </w:pPr>
      <w:r w:rsidRPr="00AF45FA">
        <w:rPr>
          <w:rFonts w:ascii="Times New Roman" w:hAnsi="Times New Roman" w:cs="Times New Roman"/>
          <w:sz w:val="24"/>
          <w:szCs w:val="24"/>
        </w:rPr>
        <w:t xml:space="preserve">    (A) Such requests must be in writing and submitted to and approved by the Licensing Committee prior to the expiration of the biennial period for which the alternative is being requested.</w:t>
      </w:r>
    </w:p>
    <w:p w14:paraId="259FB123" w14:textId="77777777" w:rsidR="00AF45FA" w:rsidRPr="00AF45FA" w:rsidRDefault="00AF45FA" w:rsidP="00AF45FA">
      <w:pPr>
        <w:rPr>
          <w:rFonts w:ascii="Times New Roman" w:hAnsi="Times New Roman" w:cs="Times New Roman"/>
          <w:sz w:val="24"/>
          <w:szCs w:val="24"/>
        </w:rPr>
      </w:pPr>
      <w:r w:rsidRPr="00AF45FA">
        <w:rPr>
          <w:rFonts w:ascii="Times New Roman" w:hAnsi="Times New Roman" w:cs="Times New Roman"/>
          <w:sz w:val="24"/>
          <w:szCs w:val="24"/>
        </w:rPr>
        <w:t xml:space="preserve">    (B) A licensee must provide supporting documentation detailing the reason why the continuing education requirements set forth in this section cannot be met and must submit a proposal for alternative education procedures.</w:t>
      </w:r>
    </w:p>
    <w:p w14:paraId="7A5B4269" w14:textId="77777777" w:rsidR="00AF45FA" w:rsidRPr="00AF45FA" w:rsidRDefault="00AF45FA" w:rsidP="00AF45FA">
      <w:pPr>
        <w:rPr>
          <w:rFonts w:ascii="Times New Roman" w:hAnsi="Times New Roman" w:cs="Times New Roman"/>
          <w:sz w:val="24"/>
          <w:szCs w:val="24"/>
        </w:rPr>
      </w:pPr>
      <w:r w:rsidRPr="00AF45FA">
        <w:rPr>
          <w:rFonts w:ascii="Times New Roman" w:hAnsi="Times New Roman" w:cs="Times New Roman"/>
          <w:sz w:val="24"/>
          <w:szCs w:val="24"/>
        </w:rPr>
        <w:t xml:space="preserve">    (C) Acceptable causes may include unanticipated financial or medical hardships or other extraordinary circumstances that are documented.</w:t>
      </w:r>
    </w:p>
    <w:p w14:paraId="1A0FA6EA" w14:textId="77777777" w:rsidR="00AF45FA" w:rsidRPr="00AF45FA" w:rsidRDefault="00AF45FA" w:rsidP="00AF45FA">
      <w:pPr>
        <w:rPr>
          <w:rFonts w:ascii="Times New Roman" w:hAnsi="Times New Roman" w:cs="Times New Roman"/>
          <w:sz w:val="24"/>
          <w:szCs w:val="24"/>
        </w:rPr>
      </w:pPr>
      <w:r w:rsidRPr="00AF45FA">
        <w:rPr>
          <w:rFonts w:ascii="Times New Roman" w:hAnsi="Times New Roman" w:cs="Times New Roman"/>
          <w:sz w:val="24"/>
          <w:szCs w:val="24"/>
        </w:rPr>
        <w:t xml:space="preserve">    (D) A licensee who resides outside of the United States may, without prior approval of the Licensing Committee, complete all required hours of coursework by self-study.</w:t>
      </w:r>
    </w:p>
    <w:p w14:paraId="658320B8" w14:textId="77777777" w:rsidR="00AF45FA" w:rsidRPr="00AF45FA" w:rsidRDefault="00AF45FA" w:rsidP="00AF45FA">
      <w:pPr>
        <w:rPr>
          <w:rFonts w:ascii="Times New Roman" w:hAnsi="Times New Roman" w:cs="Times New Roman"/>
          <w:sz w:val="24"/>
          <w:szCs w:val="24"/>
        </w:rPr>
      </w:pPr>
      <w:r w:rsidRPr="00AF45FA">
        <w:rPr>
          <w:rFonts w:ascii="Times New Roman" w:hAnsi="Times New Roman" w:cs="Times New Roman"/>
          <w:sz w:val="24"/>
          <w:szCs w:val="24"/>
        </w:rPr>
        <w:t xml:space="preserve">      (</w:t>
      </w:r>
      <w:proofErr w:type="spellStart"/>
      <w:r w:rsidRPr="00AF45FA">
        <w:rPr>
          <w:rFonts w:ascii="Times New Roman" w:hAnsi="Times New Roman" w:cs="Times New Roman"/>
          <w:sz w:val="24"/>
          <w:szCs w:val="24"/>
        </w:rPr>
        <w:t>i</w:t>
      </w:r>
      <w:proofErr w:type="spellEnd"/>
      <w:r w:rsidRPr="00AF45FA">
        <w:rPr>
          <w:rFonts w:ascii="Times New Roman" w:hAnsi="Times New Roman" w:cs="Times New Roman"/>
          <w:sz w:val="24"/>
          <w:szCs w:val="24"/>
        </w:rPr>
        <w:t>) These self-study hours must be provided by those entities cited in §104.2 of this title. Examples of self-study courses include correspondence courses, video courses, audio courses, and reading courses.</w:t>
      </w:r>
    </w:p>
    <w:p w14:paraId="728B1825" w14:textId="77777777" w:rsidR="00AF45FA" w:rsidRPr="00AF45FA" w:rsidRDefault="00AF45FA" w:rsidP="00AF45FA">
      <w:pPr>
        <w:rPr>
          <w:rFonts w:ascii="Times New Roman" w:hAnsi="Times New Roman" w:cs="Times New Roman"/>
          <w:sz w:val="24"/>
          <w:szCs w:val="24"/>
        </w:rPr>
      </w:pPr>
      <w:r w:rsidRPr="00AF45FA">
        <w:rPr>
          <w:rFonts w:ascii="Times New Roman" w:hAnsi="Times New Roman" w:cs="Times New Roman"/>
          <w:sz w:val="24"/>
          <w:szCs w:val="24"/>
        </w:rPr>
        <w:t xml:space="preserve">      (ii) Upon being audited for continuing education compliance, a licensee who submits self-study hours under this subsection must be able to demonstrate residence outside of the United States for all periods of time for which self-study hours were submitted.</w:t>
      </w:r>
    </w:p>
    <w:p w14:paraId="5D2A3375" w14:textId="77777777" w:rsidR="00AF45FA" w:rsidRPr="00AF45FA" w:rsidRDefault="00AF45FA" w:rsidP="00AF45FA">
      <w:pPr>
        <w:rPr>
          <w:rFonts w:ascii="Times New Roman" w:hAnsi="Times New Roman" w:cs="Times New Roman"/>
          <w:sz w:val="24"/>
          <w:szCs w:val="24"/>
        </w:rPr>
      </w:pPr>
      <w:r w:rsidRPr="00AF45FA">
        <w:rPr>
          <w:rFonts w:ascii="Times New Roman" w:hAnsi="Times New Roman" w:cs="Times New Roman"/>
          <w:sz w:val="24"/>
          <w:szCs w:val="24"/>
        </w:rPr>
        <w:t xml:space="preserve">    (E) Should a request to the Licensing Committee be denied, the licensee must complete the requirements of this section.</w:t>
      </w:r>
    </w:p>
    <w:p w14:paraId="3704FEA0" w14:textId="77777777" w:rsidR="00AF45FA" w:rsidRPr="00AF45FA" w:rsidRDefault="00AF45FA" w:rsidP="00AF45FA">
      <w:pPr>
        <w:rPr>
          <w:rFonts w:ascii="Times New Roman" w:hAnsi="Times New Roman" w:cs="Times New Roman"/>
          <w:sz w:val="24"/>
          <w:szCs w:val="24"/>
        </w:rPr>
      </w:pPr>
      <w:r w:rsidRPr="00AF45FA">
        <w:rPr>
          <w:rFonts w:ascii="Times New Roman" w:hAnsi="Times New Roman" w:cs="Times New Roman"/>
          <w:sz w:val="24"/>
          <w:szCs w:val="24"/>
        </w:rPr>
        <w:t xml:space="preserve">  (2) Effective September 1, 2018, the following conditions and restrictions shall apply to coursework submitted for renewal purposes:</w:t>
      </w:r>
    </w:p>
    <w:p w14:paraId="55A901E9" w14:textId="77777777" w:rsidR="00AF45FA" w:rsidRPr="00AF45FA" w:rsidRDefault="00AF45FA" w:rsidP="00AF45FA">
      <w:pPr>
        <w:rPr>
          <w:rFonts w:ascii="Times New Roman" w:hAnsi="Times New Roman" w:cs="Times New Roman"/>
          <w:sz w:val="24"/>
          <w:szCs w:val="24"/>
        </w:rPr>
      </w:pPr>
      <w:r w:rsidRPr="00AF45FA">
        <w:rPr>
          <w:rFonts w:ascii="Times New Roman" w:hAnsi="Times New Roman" w:cs="Times New Roman"/>
          <w:sz w:val="24"/>
          <w:szCs w:val="24"/>
        </w:rPr>
        <w:t xml:space="preserve">    (A) At least 16 hours of coursework must be either technical or scientific as related to clinical care. The terms "technical" and "scientific" as applied to continuing education shall mean that courses have significant intellectual or practical content and are designed to directly enhance the practitioner's knowledge and skill in providing clinical care to the individual patient.</w:t>
      </w:r>
    </w:p>
    <w:p w14:paraId="4FBB33EA" w14:textId="77777777" w:rsidR="00AF45FA" w:rsidRPr="00AF45FA" w:rsidRDefault="00AF45FA" w:rsidP="00AF45FA">
      <w:pPr>
        <w:rPr>
          <w:rFonts w:ascii="Times New Roman" w:hAnsi="Times New Roman" w:cs="Times New Roman"/>
          <w:sz w:val="24"/>
          <w:szCs w:val="24"/>
        </w:rPr>
      </w:pPr>
      <w:r w:rsidRPr="00AF45FA">
        <w:rPr>
          <w:rFonts w:ascii="Times New Roman" w:hAnsi="Times New Roman" w:cs="Times New Roman"/>
          <w:sz w:val="24"/>
          <w:szCs w:val="24"/>
        </w:rPr>
        <w:lastRenderedPageBreak/>
        <w:t xml:space="preserve">    (B) Effective January 1, 2021, a licensed dentist whose practice includes direct patient care must complete not less than 2 hours of continuing education annually, and not less than 4 hours for each biennial renewal, regarding safe and effective pain management related to the prescription of opioids and other controlled substances. These 4 hours may be used to satisfy the 16-hour technical and scientific requirement. The courses taken to satisfy the safe and effective pain management requirement must include education regarding:</w:t>
      </w:r>
    </w:p>
    <w:p w14:paraId="5BC383E7" w14:textId="77777777" w:rsidR="00AF45FA" w:rsidRPr="00AF45FA" w:rsidRDefault="00AF45FA" w:rsidP="00AF45FA">
      <w:pPr>
        <w:rPr>
          <w:rFonts w:ascii="Times New Roman" w:hAnsi="Times New Roman" w:cs="Times New Roman"/>
          <w:sz w:val="24"/>
          <w:szCs w:val="24"/>
        </w:rPr>
      </w:pPr>
      <w:r w:rsidRPr="00AF45FA">
        <w:rPr>
          <w:rFonts w:ascii="Times New Roman" w:hAnsi="Times New Roman" w:cs="Times New Roman"/>
          <w:sz w:val="24"/>
          <w:szCs w:val="24"/>
        </w:rPr>
        <w:t xml:space="preserve">      (</w:t>
      </w:r>
      <w:proofErr w:type="spellStart"/>
      <w:r w:rsidRPr="00AF45FA">
        <w:rPr>
          <w:rFonts w:ascii="Times New Roman" w:hAnsi="Times New Roman" w:cs="Times New Roman"/>
          <w:sz w:val="24"/>
          <w:szCs w:val="24"/>
        </w:rPr>
        <w:t>i</w:t>
      </w:r>
      <w:proofErr w:type="spellEnd"/>
      <w:r w:rsidRPr="00AF45FA">
        <w:rPr>
          <w:rFonts w:ascii="Times New Roman" w:hAnsi="Times New Roman" w:cs="Times New Roman"/>
          <w:sz w:val="24"/>
          <w:szCs w:val="24"/>
        </w:rPr>
        <w:t>) reasonable standards of care;</w:t>
      </w:r>
    </w:p>
    <w:p w14:paraId="76A82455" w14:textId="77777777" w:rsidR="00AF45FA" w:rsidRPr="00AF45FA" w:rsidRDefault="00AF45FA" w:rsidP="00AF45FA">
      <w:pPr>
        <w:rPr>
          <w:rFonts w:ascii="Times New Roman" w:hAnsi="Times New Roman" w:cs="Times New Roman"/>
          <w:sz w:val="24"/>
          <w:szCs w:val="24"/>
        </w:rPr>
      </w:pPr>
      <w:r w:rsidRPr="00AF45FA">
        <w:rPr>
          <w:rFonts w:ascii="Times New Roman" w:hAnsi="Times New Roman" w:cs="Times New Roman"/>
          <w:sz w:val="24"/>
          <w:szCs w:val="24"/>
        </w:rPr>
        <w:t xml:space="preserve">      (ii) the identification of drug-seeking behavior in patients; and</w:t>
      </w:r>
    </w:p>
    <w:p w14:paraId="2B86D4E7" w14:textId="77777777" w:rsidR="00AF45FA" w:rsidRPr="00AF45FA" w:rsidRDefault="00AF45FA" w:rsidP="00AF45FA">
      <w:pPr>
        <w:rPr>
          <w:rFonts w:ascii="Times New Roman" w:hAnsi="Times New Roman" w:cs="Times New Roman"/>
          <w:sz w:val="24"/>
          <w:szCs w:val="24"/>
        </w:rPr>
      </w:pPr>
      <w:r w:rsidRPr="00AF45FA">
        <w:rPr>
          <w:rFonts w:ascii="Times New Roman" w:hAnsi="Times New Roman" w:cs="Times New Roman"/>
          <w:sz w:val="24"/>
          <w:szCs w:val="24"/>
        </w:rPr>
        <w:t xml:space="preserve">      (iii) effectively communicating with patients regarding the prescription of an opioid or other controlled substance.</w:t>
      </w:r>
    </w:p>
    <w:p w14:paraId="6EA27DDA" w14:textId="77777777" w:rsidR="00AF45FA" w:rsidRPr="00AF45FA" w:rsidRDefault="00AF45FA" w:rsidP="00AF45FA">
      <w:pPr>
        <w:rPr>
          <w:rFonts w:ascii="Times New Roman" w:hAnsi="Times New Roman" w:cs="Times New Roman"/>
          <w:sz w:val="24"/>
          <w:szCs w:val="24"/>
        </w:rPr>
      </w:pPr>
      <w:r w:rsidRPr="00AF45FA">
        <w:rPr>
          <w:rFonts w:ascii="Times New Roman" w:hAnsi="Times New Roman" w:cs="Times New Roman"/>
          <w:sz w:val="24"/>
          <w:szCs w:val="24"/>
        </w:rPr>
        <w:t xml:space="preserve">    (C) Up to 8 hours of coursework may be in risk-management courses. Acceptable "risk management" courses include courses in risk management, record-keeping, and ethics. Dentists may complete continuing education courses described by §111.1 of this title (relating to Additional Continuing Education Required) to satisfy a portion of the risk-management requirement.</w:t>
      </w:r>
    </w:p>
    <w:p w14:paraId="6AC30F86" w14:textId="77777777" w:rsidR="00AF45FA" w:rsidRPr="00AF45FA" w:rsidRDefault="00AF45FA" w:rsidP="00AF45FA">
      <w:pPr>
        <w:rPr>
          <w:rFonts w:ascii="Times New Roman" w:hAnsi="Times New Roman" w:cs="Times New Roman"/>
          <w:sz w:val="24"/>
          <w:szCs w:val="24"/>
        </w:rPr>
      </w:pPr>
      <w:r w:rsidRPr="00AF45FA">
        <w:rPr>
          <w:rFonts w:ascii="Times New Roman" w:hAnsi="Times New Roman" w:cs="Times New Roman"/>
          <w:sz w:val="24"/>
          <w:szCs w:val="24"/>
        </w:rPr>
        <w:t xml:space="preserve">    (D) Up to 8 hours of coursework may be self-study. These self-study hours must be provided by those entities cited in §104.2 of this title. Examples of self-study courses include correspondence courses, video courses, audio courses, and reading courses.</w:t>
      </w:r>
    </w:p>
    <w:p w14:paraId="58378748" w14:textId="77777777" w:rsidR="00AF45FA" w:rsidRPr="00AF45FA" w:rsidRDefault="00AF45FA" w:rsidP="00AF45FA">
      <w:pPr>
        <w:rPr>
          <w:rFonts w:ascii="Times New Roman" w:hAnsi="Times New Roman" w:cs="Times New Roman"/>
          <w:sz w:val="24"/>
          <w:szCs w:val="24"/>
        </w:rPr>
      </w:pPr>
      <w:r w:rsidRPr="00AF45FA">
        <w:rPr>
          <w:rFonts w:ascii="Times New Roman" w:hAnsi="Times New Roman" w:cs="Times New Roman"/>
          <w:sz w:val="24"/>
          <w:szCs w:val="24"/>
        </w:rPr>
        <w:t xml:space="preserve">    (E) Hours of coursework in the standards of the Occupational Safety and Health Administration (OSHA) annual update course or in cardiopulmonary resuscitation (CPR) basic life support training may not be considered in the 24-hour requirement.</w:t>
      </w:r>
    </w:p>
    <w:p w14:paraId="3B0DF563" w14:textId="0E22CF90" w:rsidR="00A105B1" w:rsidRPr="00A105B1" w:rsidRDefault="00AF45FA" w:rsidP="00AF45FA">
      <w:pPr>
        <w:rPr>
          <w:rFonts w:ascii="Times New Roman" w:hAnsi="Times New Roman" w:cs="Times New Roman"/>
          <w:sz w:val="24"/>
          <w:szCs w:val="24"/>
        </w:rPr>
      </w:pPr>
      <w:r w:rsidRPr="00AF45FA">
        <w:rPr>
          <w:rFonts w:ascii="Times New Roman" w:hAnsi="Times New Roman" w:cs="Times New Roman"/>
          <w:sz w:val="24"/>
          <w:szCs w:val="24"/>
        </w:rPr>
        <w:t xml:space="preserve">    (F) Hours of coursework in practice finance may not be considered in the 24-hour requirement.</w:t>
      </w:r>
    </w:p>
    <w:p w14:paraId="722AC831" w14:textId="77777777" w:rsidR="00AF45FA" w:rsidRPr="00AF45FA" w:rsidRDefault="00AF45FA" w:rsidP="00AF45FA">
      <w:pPr>
        <w:rPr>
          <w:rFonts w:ascii="Times New Roman" w:hAnsi="Times New Roman" w:cs="Times New Roman"/>
          <w:sz w:val="24"/>
          <w:szCs w:val="24"/>
        </w:rPr>
      </w:pPr>
      <w:r w:rsidRPr="00AF45FA">
        <w:rPr>
          <w:rFonts w:ascii="Times New Roman" w:hAnsi="Times New Roman" w:cs="Times New Roman"/>
          <w:sz w:val="24"/>
          <w:szCs w:val="24"/>
        </w:rPr>
        <w:t xml:space="preserve">  (3) As part of the 24-hour requirement, a course in human trafficking prevention approved by the executive commissioner of the Texas Health and Human Services Commission must be completed.</w:t>
      </w:r>
    </w:p>
    <w:p w14:paraId="6E4EF164" w14:textId="77777777" w:rsidR="00AF45FA" w:rsidRPr="00AF45FA" w:rsidRDefault="00AF45FA" w:rsidP="00AF45FA">
      <w:pPr>
        <w:rPr>
          <w:rFonts w:ascii="Times New Roman" w:hAnsi="Times New Roman" w:cs="Times New Roman"/>
          <w:sz w:val="24"/>
          <w:szCs w:val="24"/>
        </w:rPr>
      </w:pPr>
      <w:r w:rsidRPr="00AF45FA">
        <w:rPr>
          <w:rFonts w:ascii="Times New Roman" w:hAnsi="Times New Roman" w:cs="Times New Roman"/>
          <w:sz w:val="24"/>
          <w:szCs w:val="24"/>
        </w:rPr>
        <w:t xml:space="preserve">  (4) Each licensee shall complete the jurisprudence assessment every four (4) years. This requirement is in addition to the twenty-four (24) hours of continuing education required biennially for the renewal of a license.</w:t>
      </w:r>
    </w:p>
    <w:p w14:paraId="658F7140" w14:textId="77777777" w:rsidR="00AF45FA" w:rsidRPr="00AF45FA" w:rsidRDefault="00AF45FA" w:rsidP="00AF45FA">
      <w:pPr>
        <w:rPr>
          <w:rFonts w:ascii="Times New Roman" w:hAnsi="Times New Roman" w:cs="Times New Roman"/>
          <w:sz w:val="24"/>
          <w:szCs w:val="24"/>
        </w:rPr>
      </w:pPr>
      <w:r w:rsidRPr="00AF45FA">
        <w:rPr>
          <w:rFonts w:ascii="Times New Roman" w:hAnsi="Times New Roman" w:cs="Times New Roman"/>
          <w:sz w:val="24"/>
          <w:szCs w:val="24"/>
        </w:rPr>
        <w:t xml:space="preserve">  (5) A licensee may carry forward continuing education hours earned prior to a renewal period which are in excess of the 24-hour requirement and such excess hours may be applied to subsequent years' requirements. Excess hours to be carried forward must have been earned in a classroom setting and within the one year immediately preceding the renewal period. A maximum of 24 total excess credit hours may be carried forward.</w:t>
      </w:r>
    </w:p>
    <w:p w14:paraId="4AF8A20E" w14:textId="77777777" w:rsidR="00AF45FA" w:rsidRPr="00AF45FA" w:rsidRDefault="00AF45FA" w:rsidP="00AF45FA">
      <w:pPr>
        <w:rPr>
          <w:rFonts w:ascii="Times New Roman" w:hAnsi="Times New Roman" w:cs="Times New Roman"/>
          <w:sz w:val="24"/>
          <w:szCs w:val="24"/>
        </w:rPr>
      </w:pPr>
      <w:r w:rsidRPr="00AF45FA">
        <w:rPr>
          <w:rFonts w:ascii="Times New Roman" w:hAnsi="Times New Roman" w:cs="Times New Roman"/>
          <w:sz w:val="24"/>
          <w:szCs w:val="24"/>
        </w:rPr>
        <w:t xml:space="preserve">  (6) Examiners for The Commission on Dental Competency Assessments-The Western Regional Examining Board-The Council of Interstate Testing Agencies (CDCA-WREB-CITA), States Resources for Testing and Assessments (SRTA), and Central Regional Dental Testing Services </w:t>
      </w:r>
      <w:r w:rsidRPr="00AF45FA">
        <w:rPr>
          <w:rFonts w:ascii="Times New Roman" w:hAnsi="Times New Roman" w:cs="Times New Roman"/>
          <w:sz w:val="24"/>
          <w:szCs w:val="24"/>
        </w:rPr>
        <w:lastRenderedPageBreak/>
        <w:t>Inc. (CRDTS) will be allowed credit for no more than 12 hours biennially, obtained from calibration and standardization exercises associated with the examinations.</w:t>
      </w:r>
    </w:p>
    <w:p w14:paraId="3F6DCBF4" w14:textId="77777777" w:rsidR="00AF45FA" w:rsidRPr="00AF45FA" w:rsidRDefault="00AF45FA" w:rsidP="00AF45FA">
      <w:pPr>
        <w:rPr>
          <w:rFonts w:ascii="Times New Roman" w:hAnsi="Times New Roman" w:cs="Times New Roman"/>
          <w:sz w:val="24"/>
          <w:szCs w:val="24"/>
        </w:rPr>
      </w:pPr>
      <w:r w:rsidRPr="00AF45FA">
        <w:rPr>
          <w:rFonts w:ascii="Times New Roman" w:hAnsi="Times New Roman" w:cs="Times New Roman"/>
          <w:sz w:val="24"/>
          <w:szCs w:val="24"/>
        </w:rPr>
        <w:t xml:space="preserve">  (7) Any individual or entity may petition one of the providers listed in §104.2 of this title to offer continuing education.</w:t>
      </w:r>
    </w:p>
    <w:p w14:paraId="72361373" w14:textId="77777777" w:rsidR="00AF45FA" w:rsidRPr="00AF45FA" w:rsidRDefault="00AF45FA" w:rsidP="00AF45FA">
      <w:pPr>
        <w:rPr>
          <w:rFonts w:ascii="Times New Roman" w:hAnsi="Times New Roman" w:cs="Times New Roman"/>
          <w:sz w:val="24"/>
          <w:szCs w:val="24"/>
        </w:rPr>
      </w:pPr>
      <w:r w:rsidRPr="00AF45FA">
        <w:rPr>
          <w:rFonts w:ascii="Times New Roman" w:hAnsi="Times New Roman" w:cs="Times New Roman"/>
          <w:sz w:val="24"/>
          <w:szCs w:val="24"/>
        </w:rPr>
        <w:t xml:space="preserve">  (8) Providers cited in §104.2 of this title will approve individual courses and/or instructors.</w:t>
      </w:r>
    </w:p>
    <w:p w14:paraId="1F950B61" w14:textId="77777777" w:rsidR="00AF45FA" w:rsidRPr="00AF45FA" w:rsidRDefault="00AF45FA" w:rsidP="00AF45FA">
      <w:pPr>
        <w:rPr>
          <w:rFonts w:ascii="Times New Roman" w:hAnsi="Times New Roman" w:cs="Times New Roman"/>
          <w:sz w:val="24"/>
          <w:szCs w:val="24"/>
        </w:rPr>
      </w:pPr>
      <w:r w:rsidRPr="00AF45FA">
        <w:rPr>
          <w:rFonts w:ascii="Times New Roman" w:hAnsi="Times New Roman" w:cs="Times New Roman"/>
          <w:sz w:val="24"/>
          <w:szCs w:val="24"/>
        </w:rPr>
        <w:t xml:space="preserve">  (9) A consultant for the SBDE who is also a licensee of the SBDE is eligible to receive up to 12 hours of continuing education credit biennially to apply towards the biennial renewal continuing education requirement under this section.</w:t>
      </w:r>
    </w:p>
    <w:p w14:paraId="33E25198" w14:textId="77777777" w:rsidR="00AF45FA" w:rsidRPr="00AF45FA" w:rsidRDefault="00AF45FA" w:rsidP="00AF45FA">
      <w:pPr>
        <w:rPr>
          <w:rFonts w:ascii="Times New Roman" w:hAnsi="Times New Roman" w:cs="Times New Roman"/>
          <w:sz w:val="24"/>
          <w:szCs w:val="24"/>
        </w:rPr>
      </w:pPr>
      <w:r w:rsidRPr="00AF45FA">
        <w:rPr>
          <w:rFonts w:ascii="Times New Roman" w:hAnsi="Times New Roman" w:cs="Times New Roman"/>
          <w:sz w:val="24"/>
          <w:szCs w:val="24"/>
        </w:rPr>
        <w:t xml:space="preserve">    (A) Continuing education credit hours shall be awarded for the issuance of an expert opinion based upon the review of SBDE cases and for </w:t>
      </w:r>
      <w:proofErr w:type="gramStart"/>
      <w:r w:rsidRPr="00AF45FA">
        <w:rPr>
          <w:rFonts w:ascii="Times New Roman" w:hAnsi="Times New Roman" w:cs="Times New Roman"/>
          <w:sz w:val="24"/>
          <w:szCs w:val="24"/>
        </w:rPr>
        <w:t>providing assistance to</w:t>
      </w:r>
      <w:proofErr w:type="gramEnd"/>
      <w:r w:rsidRPr="00AF45FA">
        <w:rPr>
          <w:rFonts w:ascii="Times New Roman" w:hAnsi="Times New Roman" w:cs="Times New Roman"/>
          <w:sz w:val="24"/>
          <w:szCs w:val="24"/>
        </w:rPr>
        <w:t xml:space="preserve"> the SBDE in the investigation and prosecution of cases involving violations of the Dental Practice Act and/or the Rules of the SBDE.</w:t>
      </w:r>
    </w:p>
    <w:p w14:paraId="0C610765" w14:textId="77777777" w:rsidR="00AF45FA" w:rsidRPr="00AF45FA" w:rsidRDefault="00AF45FA" w:rsidP="00AF45FA">
      <w:pPr>
        <w:rPr>
          <w:rFonts w:ascii="Times New Roman" w:hAnsi="Times New Roman" w:cs="Times New Roman"/>
          <w:sz w:val="24"/>
          <w:szCs w:val="24"/>
        </w:rPr>
      </w:pPr>
      <w:r w:rsidRPr="00AF45FA">
        <w:rPr>
          <w:rFonts w:ascii="Times New Roman" w:hAnsi="Times New Roman" w:cs="Times New Roman"/>
          <w:sz w:val="24"/>
          <w:szCs w:val="24"/>
        </w:rPr>
        <w:t xml:space="preserve">    (B) The amount of continuing education credit hours to be granted for each consultant task performed shall be determined by the Executive Director, Division Director, or manager that authorizes the consultant task to be performed. The award of continuing education credit shall be confirmed in writing and based upon a reasonable assessment of the time required to complete the task.</w:t>
      </w:r>
    </w:p>
    <w:p w14:paraId="488421A4" w14:textId="54F42A76" w:rsidR="00696F98" w:rsidRDefault="00AF45FA" w:rsidP="00AF45FA">
      <w:pPr>
        <w:rPr>
          <w:rFonts w:ascii="Times New Roman" w:hAnsi="Times New Roman" w:cs="Times New Roman"/>
          <w:sz w:val="24"/>
          <w:szCs w:val="24"/>
        </w:rPr>
      </w:pPr>
      <w:r w:rsidRPr="00AF45FA">
        <w:rPr>
          <w:rFonts w:ascii="Times New Roman" w:hAnsi="Times New Roman" w:cs="Times New Roman"/>
          <w:sz w:val="24"/>
          <w:szCs w:val="24"/>
        </w:rPr>
        <w:t xml:space="preserve">  (10) A course instructor who offers continuing education through a provider listed in §104.2 of this title is eligible to receive 2 hours of continuing education credit for every 1 hour of instruction provided. This credit applies per course, per renewal period.</w:t>
      </w:r>
    </w:p>
    <w:p w14:paraId="360DE05D" w14:textId="78789052" w:rsidR="00F22EEC" w:rsidRPr="00F22EEC" w:rsidRDefault="00F22EEC" w:rsidP="00F22EEC">
      <w:pPr>
        <w:rPr>
          <w:rFonts w:ascii="Times New Roman" w:hAnsi="Times New Roman" w:cs="Times New Roman"/>
          <w:sz w:val="24"/>
          <w:szCs w:val="24"/>
          <w:u w:val="single"/>
        </w:rPr>
      </w:pPr>
      <w:r>
        <w:rPr>
          <w:rFonts w:ascii="Times New Roman" w:hAnsi="Times New Roman" w:cs="Times New Roman"/>
          <w:sz w:val="24"/>
          <w:szCs w:val="24"/>
          <w:u w:val="single"/>
        </w:rPr>
        <w:t>(11) The 24-hour requirement may be reduced by 2 hours if</w:t>
      </w:r>
      <w:r w:rsidR="00A105B1">
        <w:rPr>
          <w:rFonts w:ascii="Times New Roman" w:hAnsi="Times New Roman" w:cs="Times New Roman"/>
          <w:sz w:val="24"/>
          <w:szCs w:val="24"/>
          <w:u w:val="single"/>
        </w:rPr>
        <w:t xml:space="preserve"> licensees attest</w:t>
      </w:r>
      <w:r w:rsidR="007B5A2E">
        <w:rPr>
          <w:rFonts w:ascii="Times New Roman" w:hAnsi="Times New Roman" w:cs="Times New Roman"/>
          <w:sz w:val="24"/>
          <w:szCs w:val="24"/>
          <w:u w:val="single"/>
        </w:rPr>
        <w:t xml:space="preserve"> they read all newsletters issued by the Texas State Board of Dental Examiners during their renewal </w:t>
      </w:r>
      <w:r w:rsidR="00A105B1">
        <w:rPr>
          <w:rFonts w:ascii="Times New Roman" w:hAnsi="Times New Roman" w:cs="Times New Roman"/>
          <w:sz w:val="24"/>
          <w:szCs w:val="24"/>
          <w:u w:val="single"/>
        </w:rPr>
        <w:t>period</w:t>
      </w:r>
      <w:r w:rsidR="007B5A2E">
        <w:rPr>
          <w:rFonts w:ascii="Times New Roman" w:hAnsi="Times New Roman" w:cs="Times New Roman"/>
          <w:sz w:val="24"/>
          <w:szCs w:val="24"/>
          <w:u w:val="single"/>
        </w:rPr>
        <w:t>.</w:t>
      </w:r>
      <w:r w:rsidR="008014E9">
        <w:rPr>
          <w:rFonts w:ascii="Times New Roman" w:hAnsi="Times New Roman" w:cs="Times New Roman"/>
          <w:sz w:val="24"/>
          <w:szCs w:val="24"/>
          <w:u w:val="single"/>
        </w:rPr>
        <w:t xml:space="preserve"> </w:t>
      </w:r>
      <w:r w:rsidR="004F6EB8">
        <w:rPr>
          <w:rFonts w:ascii="Times New Roman" w:hAnsi="Times New Roman" w:cs="Times New Roman"/>
          <w:sz w:val="24"/>
          <w:szCs w:val="24"/>
          <w:u w:val="single"/>
        </w:rPr>
        <w:t>This does not apply to the 16-hour technical and scientific requirement.</w:t>
      </w:r>
    </w:p>
    <w:sectPr w:rsidR="00F22EEC" w:rsidRPr="00F22E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263CAD"/>
    <w:multiLevelType w:val="hybridMultilevel"/>
    <w:tmpl w:val="989C0606"/>
    <w:lvl w:ilvl="0" w:tplc="5E264F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B6134F"/>
    <w:multiLevelType w:val="hybridMultilevel"/>
    <w:tmpl w:val="45623872"/>
    <w:lvl w:ilvl="0" w:tplc="044AD600">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2" w15:restartNumberingAfterBreak="0">
    <w:nsid w:val="514A47B8"/>
    <w:multiLevelType w:val="hybridMultilevel"/>
    <w:tmpl w:val="EEE68024"/>
    <w:lvl w:ilvl="0" w:tplc="6B9CD31A">
      <w:start w:val="1"/>
      <w:numFmt w:val="lowerLetter"/>
      <w:lvlText w:val="(%1)"/>
      <w:lvlJc w:val="left"/>
      <w:pPr>
        <w:ind w:left="360" w:hanging="360"/>
      </w:pPr>
      <w:rPr>
        <w:rFonts w:hint="default"/>
      </w:rPr>
    </w:lvl>
    <w:lvl w:ilvl="1" w:tplc="54C6819E">
      <w:start w:val="1"/>
      <w:numFmt w:val="lowerLetter"/>
      <w:lvlText w:val="%2."/>
      <w:lvlJc w:val="left"/>
      <w:pPr>
        <w:ind w:left="1080" w:hanging="360"/>
      </w:pPr>
      <w:rPr>
        <w:u w:val="single"/>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57A92930"/>
    <w:multiLevelType w:val="hybridMultilevel"/>
    <w:tmpl w:val="3DC895CA"/>
    <w:lvl w:ilvl="0" w:tplc="9778605C">
      <w:start w:val="1"/>
      <w:numFmt w:val="decimal"/>
      <w:lvlText w:val="(%1)"/>
      <w:lvlJc w:val="left"/>
      <w:pPr>
        <w:ind w:left="1080" w:hanging="36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ADC03FD"/>
    <w:multiLevelType w:val="hybridMultilevel"/>
    <w:tmpl w:val="6180CC54"/>
    <w:lvl w:ilvl="0" w:tplc="3B2C5AD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BBD"/>
    <w:rsid w:val="0000070B"/>
    <w:rsid w:val="00006752"/>
    <w:rsid w:val="00022B70"/>
    <w:rsid w:val="000262A7"/>
    <w:rsid w:val="00026B33"/>
    <w:rsid w:val="00026B91"/>
    <w:rsid w:val="000322BD"/>
    <w:rsid w:val="00033CF5"/>
    <w:rsid w:val="00044D21"/>
    <w:rsid w:val="00054B7F"/>
    <w:rsid w:val="0005764D"/>
    <w:rsid w:val="00063A73"/>
    <w:rsid w:val="000674A6"/>
    <w:rsid w:val="00085307"/>
    <w:rsid w:val="000A0599"/>
    <w:rsid w:val="000A1C7D"/>
    <w:rsid w:val="000A32EC"/>
    <w:rsid w:val="000A39F2"/>
    <w:rsid w:val="000C5F08"/>
    <w:rsid w:val="000E42B7"/>
    <w:rsid w:val="000E7DF5"/>
    <w:rsid w:val="000F3007"/>
    <w:rsid w:val="00113577"/>
    <w:rsid w:val="001159FF"/>
    <w:rsid w:val="00127A2D"/>
    <w:rsid w:val="00152CEF"/>
    <w:rsid w:val="001566E2"/>
    <w:rsid w:val="0016410C"/>
    <w:rsid w:val="00171F70"/>
    <w:rsid w:val="001756AF"/>
    <w:rsid w:val="00186156"/>
    <w:rsid w:val="00197AF8"/>
    <w:rsid w:val="001A28C3"/>
    <w:rsid w:val="001B1402"/>
    <w:rsid w:val="001C11B8"/>
    <w:rsid w:val="001C2097"/>
    <w:rsid w:val="001C74D1"/>
    <w:rsid w:val="001D3125"/>
    <w:rsid w:val="001D6B31"/>
    <w:rsid w:val="001F01F6"/>
    <w:rsid w:val="001F1F84"/>
    <w:rsid w:val="00216983"/>
    <w:rsid w:val="00216CA1"/>
    <w:rsid w:val="002641FC"/>
    <w:rsid w:val="0028586D"/>
    <w:rsid w:val="00291A81"/>
    <w:rsid w:val="00292D96"/>
    <w:rsid w:val="002A7368"/>
    <w:rsid w:val="002B2D03"/>
    <w:rsid w:val="002C0441"/>
    <w:rsid w:val="002C5DD1"/>
    <w:rsid w:val="002E1F0B"/>
    <w:rsid w:val="002E3B47"/>
    <w:rsid w:val="002F2DC2"/>
    <w:rsid w:val="002F7783"/>
    <w:rsid w:val="00306674"/>
    <w:rsid w:val="0030725D"/>
    <w:rsid w:val="00310B3D"/>
    <w:rsid w:val="003122D4"/>
    <w:rsid w:val="00313E39"/>
    <w:rsid w:val="00330211"/>
    <w:rsid w:val="00335CAF"/>
    <w:rsid w:val="00336E81"/>
    <w:rsid w:val="00343EBA"/>
    <w:rsid w:val="003574B2"/>
    <w:rsid w:val="0037047E"/>
    <w:rsid w:val="00380CE5"/>
    <w:rsid w:val="00386F51"/>
    <w:rsid w:val="003A1DC0"/>
    <w:rsid w:val="003A259D"/>
    <w:rsid w:val="003A6689"/>
    <w:rsid w:val="003A7EEA"/>
    <w:rsid w:val="003C4979"/>
    <w:rsid w:val="003C7A4C"/>
    <w:rsid w:val="003E109C"/>
    <w:rsid w:val="003E5C9D"/>
    <w:rsid w:val="003F0121"/>
    <w:rsid w:val="004111C7"/>
    <w:rsid w:val="0041347F"/>
    <w:rsid w:val="00416E66"/>
    <w:rsid w:val="004171B1"/>
    <w:rsid w:val="004254CA"/>
    <w:rsid w:val="004655DE"/>
    <w:rsid w:val="00465BBD"/>
    <w:rsid w:val="0047583E"/>
    <w:rsid w:val="00490983"/>
    <w:rsid w:val="004A0142"/>
    <w:rsid w:val="004E5C87"/>
    <w:rsid w:val="004F6EB8"/>
    <w:rsid w:val="005278E7"/>
    <w:rsid w:val="00531962"/>
    <w:rsid w:val="00536B7E"/>
    <w:rsid w:val="005576F5"/>
    <w:rsid w:val="00561AD2"/>
    <w:rsid w:val="00583FD3"/>
    <w:rsid w:val="00594F2B"/>
    <w:rsid w:val="005A10A7"/>
    <w:rsid w:val="005A3911"/>
    <w:rsid w:val="005B7AB8"/>
    <w:rsid w:val="005C35A4"/>
    <w:rsid w:val="005C5920"/>
    <w:rsid w:val="005E1C28"/>
    <w:rsid w:val="005E1FAB"/>
    <w:rsid w:val="006149EB"/>
    <w:rsid w:val="00634379"/>
    <w:rsid w:val="0063536D"/>
    <w:rsid w:val="006377D8"/>
    <w:rsid w:val="0064197C"/>
    <w:rsid w:val="00643D5F"/>
    <w:rsid w:val="006660E4"/>
    <w:rsid w:val="006700BE"/>
    <w:rsid w:val="00675328"/>
    <w:rsid w:val="00687ADA"/>
    <w:rsid w:val="00695835"/>
    <w:rsid w:val="00696F98"/>
    <w:rsid w:val="00697BE7"/>
    <w:rsid w:val="006B5603"/>
    <w:rsid w:val="006C76DD"/>
    <w:rsid w:val="006D0841"/>
    <w:rsid w:val="006D2F1E"/>
    <w:rsid w:val="006D45C6"/>
    <w:rsid w:val="006E21E7"/>
    <w:rsid w:val="00704AA5"/>
    <w:rsid w:val="00727BE3"/>
    <w:rsid w:val="00741B01"/>
    <w:rsid w:val="00750185"/>
    <w:rsid w:val="00750F9D"/>
    <w:rsid w:val="00752B19"/>
    <w:rsid w:val="00762C16"/>
    <w:rsid w:val="00765F24"/>
    <w:rsid w:val="00767379"/>
    <w:rsid w:val="00771267"/>
    <w:rsid w:val="007916EA"/>
    <w:rsid w:val="007B1764"/>
    <w:rsid w:val="007B417D"/>
    <w:rsid w:val="007B4E8C"/>
    <w:rsid w:val="007B5A2E"/>
    <w:rsid w:val="007C3248"/>
    <w:rsid w:val="007C4752"/>
    <w:rsid w:val="007C5EE2"/>
    <w:rsid w:val="007C62E5"/>
    <w:rsid w:val="007D4D90"/>
    <w:rsid w:val="007D5B91"/>
    <w:rsid w:val="007D7714"/>
    <w:rsid w:val="007F0D84"/>
    <w:rsid w:val="007F1207"/>
    <w:rsid w:val="008014E9"/>
    <w:rsid w:val="00804D11"/>
    <w:rsid w:val="008126A1"/>
    <w:rsid w:val="00833BB0"/>
    <w:rsid w:val="00836A52"/>
    <w:rsid w:val="00837590"/>
    <w:rsid w:val="00852781"/>
    <w:rsid w:val="00875F78"/>
    <w:rsid w:val="00881B30"/>
    <w:rsid w:val="00883AE3"/>
    <w:rsid w:val="00893647"/>
    <w:rsid w:val="008A5A5E"/>
    <w:rsid w:val="008A743C"/>
    <w:rsid w:val="008B33C9"/>
    <w:rsid w:val="008B6299"/>
    <w:rsid w:val="008D01E7"/>
    <w:rsid w:val="008D6B97"/>
    <w:rsid w:val="008F1CCC"/>
    <w:rsid w:val="008F282B"/>
    <w:rsid w:val="00912B71"/>
    <w:rsid w:val="0091317E"/>
    <w:rsid w:val="00914B68"/>
    <w:rsid w:val="009247D3"/>
    <w:rsid w:val="00951A62"/>
    <w:rsid w:val="00974818"/>
    <w:rsid w:val="00991BFD"/>
    <w:rsid w:val="00992FF6"/>
    <w:rsid w:val="009A05FE"/>
    <w:rsid w:val="009B07BD"/>
    <w:rsid w:val="009B0E4E"/>
    <w:rsid w:val="009B60AA"/>
    <w:rsid w:val="009B60EA"/>
    <w:rsid w:val="009D0E77"/>
    <w:rsid w:val="009E0989"/>
    <w:rsid w:val="009E6B31"/>
    <w:rsid w:val="009F4198"/>
    <w:rsid w:val="00A0308B"/>
    <w:rsid w:val="00A07096"/>
    <w:rsid w:val="00A105B1"/>
    <w:rsid w:val="00A15CEF"/>
    <w:rsid w:val="00A21984"/>
    <w:rsid w:val="00A30FF3"/>
    <w:rsid w:val="00A37891"/>
    <w:rsid w:val="00A45E82"/>
    <w:rsid w:val="00A5420A"/>
    <w:rsid w:val="00A57ABD"/>
    <w:rsid w:val="00A722CF"/>
    <w:rsid w:val="00A839BF"/>
    <w:rsid w:val="00A85AA1"/>
    <w:rsid w:val="00A926E3"/>
    <w:rsid w:val="00A972C7"/>
    <w:rsid w:val="00AA3F0D"/>
    <w:rsid w:val="00AB67CD"/>
    <w:rsid w:val="00AC5B45"/>
    <w:rsid w:val="00AE2A72"/>
    <w:rsid w:val="00AE6C18"/>
    <w:rsid w:val="00AF45FA"/>
    <w:rsid w:val="00AF538A"/>
    <w:rsid w:val="00B02EF7"/>
    <w:rsid w:val="00B1396B"/>
    <w:rsid w:val="00B230E5"/>
    <w:rsid w:val="00B708FB"/>
    <w:rsid w:val="00B70F15"/>
    <w:rsid w:val="00B84053"/>
    <w:rsid w:val="00B95EF2"/>
    <w:rsid w:val="00BB27BE"/>
    <w:rsid w:val="00BB6A66"/>
    <w:rsid w:val="00BC0AF4"/>
    <w:rsid w:val="00BE544F"/>
    <w:rsid w:val="00BE59CB"/>
    <w:rsid w:val="00BE5C00"/>
    <w:rsid w:val="00C052A4"/>
    <w:rsid w:val="00C20ABF"/>
    <w:rsid w:val="00C45C88"/>
    <w:rsid w:val="00C502EE"/>
    <w:rsid w:val="00C56410"/>
    <w:rsid w:val="00C574FA"/>
    <w:rsid w:val="00C6074A"/>
    <w:rsid w:val="00C6251C"/>
    <w:rsid w:val="00C676F3"/>
    <w:rsid w:val="00C87461"/>
    <w:rsid w:val="00C87FB7"/>
    <w:rsid w:val="00C9313B"/>
    <w:rsid w:val="00C96851"/>
    <w:rsid w:val="00CA454D"/>
    <w:rsid w:val="00CB1069"/>
    <w:rsid w:val="00CD384E"/>
    <w:rsid w:val="00CE11EE"/>
    <w:rsid w:val="00CF187D"/>
    <w:rsid w:val="00CF1F70"/>
    <w:rsid w:val="00CF48B1"/>
    <w:rsid w:val="00D07113"/>
    <w:rsid w:val="00D12C28"/>
    <w:rsid w:val="00D25929"/>
    <w:rsid w:val="00D57533"/>
    <w:rsid w:val="00DA1A86"/>
    <w:rsid w:val="00DA7638"/>
    <w:rsid w:val="00DD0FCE"/>
    <w:rsid w:val="00DD669C"/>
    <w:rsid w:val="00E03276"/>
    <w:rsid w:val="00E15F4D"/>
    <w:rsid w:val="00E23BB6"/>
    <w:rsid w:val="00E62014"/>
    <w:rsid w:val="00E6334C"/>
    <w:rsid w:val="00E77830"/>
    <w:rsid w:val="00E87E96"/>
    <w:rsid w:val="00E969E8"/>
    <w:rsid w:val="00EA263F"/>
    <w:rsid w:val="00EA35BF"/>
    <w:rsid w:val="00EC244C"/>
    <w:rsid w:val="00EE67AD"/>
    <w:rsid w:val="00EE70A1"/>
    <w:rsid w:val="00EF0CE3"/>
    <w:rsid w:val="00EF6B9F"/>
    <w:rsid w:val="00F218EB"/>
    <w:rsid w:val="00F22EEC"/>
    <w:rsid w:val="00F334D9"/>
    <w:rsid w:val="00F4162B"/>
    <w:rsid w:val="00F62E83"/>
    <w:rsid w:val="00FB6673"/>
    <w:rsid w:val="00FD4EE0"/>
    <w:rsid w:val="00FE3080"/>
    <w:rsid w:val="00FE37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C6510"/>
  <w15:chartTrackingRefBased/>
  <w15:docId w15:val="{18577452-F84A-46F0-B833-8FAC04092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5BBD"/>
    <w:pPr>
      <w:ind w:left="720"/>
      <w:contextualSpacing/>
    </w:pPr>
  </w:style>
  <w:style w:type="paragraph" w:styleId="BodyText">
    <w:name w:val="Body Text"/>
    <w:basedOn w:val="Normal"/>
    <w:link w:val="BodyTextChar"/>
    <w:uiPriority w:val="99"/>
    <w:unhideWhenUsed/>
    <w:rsid w:val="00336E81"/>
    <w:pPr>
      <w:spacing w:after="120"/>
    </w:pPr>
  </w:style>
  <w:style w:type="character" w:customStyle="1" w:styleId="BodyTextChar">
    <w:name w:val="Body Text Char"/>
    <w:basedOn w:val="DefaultParagraphFont"/>
    <w:link w:val="BodyText"/>
    <w:uiPriority w:val="99"/>
    <w:rsid w:val="00336E81"/>
  </w:style>
  <w:style w:type="character" w:styleId="Hyperlink">
    <w:name w:val="Hyperlink"/>
    <w:basedOn w:val="DefaultParagraphFont"/>
    <w:uiPriority w:val="99"/>
    <w:unhideWhenUsed/>
    <w:rsid w:val="00336E81"/>
    <w:rPr>
      <w:color w:val="0563C1" w:themeColor="hyperlink"/>
      <w:u w:val="single"/>
    </w:rPr>
  </w:style>
  <w:style w:type="character" w:styleId="UnresolvedMention">
    <w:name w:val="Unresolved Mention"/>
    <w:basedOn w:val="DefaultParagraphFont"/>
    <w:uiPriority w:val="99"/>
    <w:semiHidden/>
    <w:unhideWhenUsed/>
    <w:rsid w:val="00336E81"/>
    <w:rPr>
      <w:color w:val="605E5C"/>
      <w:shd w:val="clear" w:color="auto" w:fill="E1DFDD"/>
    </w:rPr>
  </w:style>
  <w:style w:type="paragraph" w:styleId="BalloonText">
    <w:name w:val="Balloon Text"/>
    <w:basedOn w:val="Normal"/>
    <w:link w:val="BalloonTextChar"/>
    <w:uiPriority w:val="99"/>
    <w:semiHidden/>
    <w:unhideWhenUsed/>
    <w:rsid w:val="005C59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5920"/>
    <w:rPr>
      <w:rFonts w:ascii="Segoe UI" w:hAnsi="Segoe UI" w:cs="Segoe UI"/>
      <w:sz w:val="18"/>
      <w:szCs w:val="18"/>
    </w:rPr>
  </w:style>
  <w:style w:type="paragraph" w:styleId="CommentText">
    <w:name w:val="annotation text"/>
    <w:basedOn w:val="Normal"/>
    <w:link w:val="CommentTextChar"/>
    <w:uiPriority w:val="99"/>
    <w:unhideWhenUsed/>
    <w:rsid w:val="00E969E8"/>
    <w:pPr>
      <w:spacing w:line="240" w:lineRule="auto"/>
    </w:pPr>
    <w:rPr>
      <w:sz w:val="20"/>
      <w:szCs w:val="20"/>
    </w:rPr>
  </w:style>
  <w:style w:type="character" w:customStyle="1" w:styleId="CommentTextChar">
    <w:name w:val="Comment Text Char"/>
    <w:basedOn w:val="DefaultParagraphFont"/>
    <w:link w:val="CommentText"/>
    <w:uiPriority w:val="99"/>
    <w:rsid w:val="00E969E8"/>
    <w:rPr>
      <w:sz w:val="20"/>
      <w:szCs w:val="20"/>
    </w:rPr>
  </w:style>
  <w:style w:type="character" w:styleId="CommentReference">
    <w:name w:val="annotation reference"/>
    <w:basedOn w:val="DefaultParagraphFont"/>
    <w:uiPriority w:val="99"/>
    <w:semiHidden/>
    <w:unhideWhenUsed/>
    <w:rsid w:val="00E969E8"/>
    <w:rPr>
      <w:sz w:val="16"/>
      <w:szCs w:val="16"/>
    </w:rPr>
  </w:style>
  <w:style w:type="paragraph" w:styleId="CommentSubject">
    <w:name w:val="annotation subject"/>
    <w:basedOn w:val="CommentText"/>
    <w:next w:val="CommentText"/>
    <w:link w:val="CommentSubjectChar"/>
    <w:uiPriority w:val="99"/>
    <w:semiHidden/>
    <w:unhideWhenUsed/>
    <w:rsid w:val="00A926E3"/>
    <w:rPr>
      <w:b/>
      <w:bCs/>
    </w:rPr>
  </w:style>
  <w:style w:type="character" w:customStyle="1" w:styleId="CommentSubjectChar">
    <w:name w:val="Comment Subject Char"/>
    <w:basedOn w:val="CommentTextChar"/>
    <w:link w:val="CommentSubject"/>
    <w:uiPriority w:val="99"/>
    <w:semiHidden/>
    <w:rsid w:val="00A926E3"/>
    <w:rPr>
      <w:b/>
      <w:bCs/>
      <w:sz w:val="20"/>
      <w:szCs w:val="20"/>
    </w:rPr>
  </w:style>
  <w:style w:type="paragraph" w:customStyle="1" w:styleId="ydpda298ee3yiv8607751865msonormal">
    <w:name w:val="ydpda298ee3yiv8607751865msonormal"/>
    <w:basedOn w:val="Normal"/>
    <w:uiPriority w:val="99"/>
    <w:rsid w:val="00914B68"/>
    <w:pPr>
      <w:spacing w:before="100" w:beforeAutospacing="1" w:after="100" w:afterAutospacing="1" w:line="240" w:lineRule="auto"/>
    </w:pPr>
    <w:rPr>
      <w:rFonts w:ascii="Calibri" w:hAnsi="Calibri" w:cs="Calibri"/>
    </w:rPr>
  </w:style>
  <w:style w:type="paragraph" w:styleId="NormalWeb">
    <w:name w:val="Normal (Web)"/>
    <w:basedOn w:val="Normal"/>
    <w:uiPriority w:val="99"/>
    <w:semiHidden/>
    <w:unhideWhenUsed/>
    <w:rsid w:val="001F1F84"/>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3A1DC0"/>
    <w:pPr>
      <w:spacing w:after="0" w:line="240" w:lineRule="auto"/>
    </w:pPr>
  </w:style>
  <w:style w:type="paragraph" w:customStyle="1" w:styleId="Default">
    <w:name w:val="Default"/>
    <w:rsid w:val="00CB1069"/>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006064">
      <w:bodyDiv w:val="1"/>
      <w:marLeft w:val="0"/>
      <w:marRight w:val="0"/>
      <w:marTop w:val="0"/>
      <w:marBottom w:val="0"/>
      <w:divBdr>
        <w:top w:val="none" w:sz="0" w:space="0" w:color="auto"/>
        <w:left w:val="none" w:sz="0" w:space="0" w:color="auto"/>
        <w:bottom w:val="none" w:sz="0" w:space="0" w:color="auto"/>
        <w:right w:val="none" w:sz="0" w:space="0" w:color="auto"/>
      </w:divBdr>
    </w:div>
    <w:div w:id="34619819">
      <w:bodyDiv w:val="1"/>
      <w:marLeft w:val="0"/>
      <w:marRight w:val="0"/>
      <w:marTop w:val="0"/>
      <w:marBottom w:val="0"/>
      <w:divBdr>
        <w:top w:val="none" w:sz="0" w:space="0" w:color="auto"/>
        <w:left w:val="none" w:sz="0" w:space="0" w:color="auto"/>
        <w:bottom w:val="none" w:sz="0" w:space="0" w:color="auto"/>
        <w:right w:val="none" w:sz="0" w:space="0" w:color="auto"/>
      </w:divBdr>
    </w:div>
    <w:div w:id="80831743">
      <w:bodyDiv w:val="1"/>
      <w:marLeft w:val="0"/>
      <w:marRight w:val="0"/>
      <w:marTop w:val="0"/>
      <w:marBottom w:val="0"/>
      <w:divBdr>
        <w:top w:val="none" w:sz="0" w:space="0" w:color="auto"/>
        <w:left w:val="none" w:sz="0" w:space="0" w:color="auto"/>
        <w:bottom w:val="none" w:sz="0" w:space="0" w:color="auto"/>
        <w:right w:val="none" w:sz="0" w:space="0" w:color="auto"/>
      </w:divBdr>
    </w:div>
    <w:div w:id="101195314">
      <w:bodyDiv w:val="1"/>
      <w:marLeft w:val="0"/>
      <w:marRight w:val="0"/>
      <w:marTop w:val="0"/>
      <w:marBottom w:val="0"/>
      <w:divBdr>
        <w:top w:val="none" w:sz="0" w:space="0" w:color="auto"/>
        <w:left w:val="none" w:sz="0" w:space="0" w:color="auto"/>
        <w:bottom w:val="none" w:sz="0" w:space="0" w:color="auto"/>
        <w:right w:val="none" w:sz="0" w:space="0" w:color="auto"/>
      </w:divBdr>
    </w:div>
    <w:div w:id="107773490">
      <w:bodyDiv w:val="1"/>
      <w:marLeft w:val="0"/>
      <w:marRight w:val="0"/>
      <w:marTop w:val="0"/>
      <w:marBottom w:val="0"/>
      <w:divBdr>
        <w:top w:val="none" w:sz="0" w:space="0" w:color="auto"/>
        <w:left w:val="none" w:sz="0" w:space="0" w:color="auto"/>
        <w:bottom w:val="none" w:sz="0" w:space="0" w:color="auto"/>
        <w:right w:val="none" w:sz="0" w:space="0" w:color="auto"/>
      </w:divBdr>
    </w:div>
    <w:div w:id="108860440">
      <w:bodyDiv w:val="1"/>
      <w:marLeft w:val="0"/>
      <w:marRight w:val="0"/>
      <w:marTop w:val="0"/>
      <w:marBottom w:val="0"/>
      <w:divBdr>
        <w:top w:val="none" w:sz="0" w:space="0" w:color="auto"/>
        <w:left w:val="none" w:sz="0" w:space="0" w:color="auto"/>
        <w:bottom w:val="none" w:sz="0" w:space="0" w:color="auto"/>
        <w:right w:val="none" w:sz="0" w:space="0" w:color="auto"/>
      </w:divBdr>
    </w:div>
    <w:div w:id="161169628">
      <w:bodyDiv w:val="1"/>
      <w:marLeft w:val="0"/>
      <w:marRight w:val="0"/>
      <w:marTop w:val="0"/>
      <w:marBottom w:val="0"/>
      <w:divBdr>
        <w:top w:val="none" w:sz="0" w:space="0" w:color="auto"/>
        <w:left w:val="none" w:sz="0" w:space="0" w:color="auto"/>
        <w:bottom w:val="none" w:sz="0" w:space="0" w:color="auto"/>
        <w:right w:val="none" w:sz="0" w:space="0" w:color="auto"/>
      </w:divBdr>
    </w:div>
    <w:div w:id="215361314">
      <w:bodyDiv w:val="1"/>
      <w:marLeft w:val="0"/>
      <w:marRight w:val="0"/>
      <w:marTop w:val="0"/>
      <w:marBottom w:val="0"/>
      <w:divBdr>
        <w:top w:val="none" w:sz="0" w:space="0" w:color="auto"/>
        <w:left w:val="none" w:sz="0" w:space="0" w:color="auto"/>
        <w:bottom w:val="none" w:sz="0" w:space="0" w:color="auto"/>
        <w:right w:val="none" w:sz="0" w:space="0" w:color="auto"/>
      </w:divBdr>
    </w:div>
    <w:div w:id="222764472">
      <w:bodyDiv w:val="1"/>
      <w:marLeft w:val="0"/>
      <w:marRight w:val="0"/>
      <w:marTop w:val="0"/>
      <w:marBottom w:val="0"/>
      <w:divBdr>
        <w:top w:val="none" w:sz="0" w:space="0" w:color="auto"/>
        <w:left w:val="none" w:sz="0" w:space="0" w:color="auto"/>
        <w:bottom w:val="none" w:sz="0" w:space="0" w:color="auto"/>
        <w:right w:val="none" w:sz="0" w:space="0" w:color="auto"/>
      </w:divBdr>
    </w:div>
    <w:div w:id="254940963">
      <w:bodyDiv w:val="1"/>
      <w:marLeft w:val="0"/>
      <w:marRight w:val="0"/>
      <w:marTop w:val="0"/>
      <w:marBottom w:val="0"/>
      <w:divBdr>
        <w:top w:val="none" w:sz="0" w:space="0" w:color="auto"/>
        <w:left w:val="none" w:sz="0" w:space="0" w:color="auto"/>
        <w:bottom w:val="none" w:sz="0" w:space="0" w:color="auto"/>
        <w:right w:val="none" w:sz="0" w:space="0" w:color="auto"/>
      </w:divBdr>
    </w:div>
    <w:div w:id="265814536">
      <w:bodyDiv w:val="1"/>
      <w:marLeft w:val="0"/>
      <w:marRight w:val="0"/>
      <w:marTop w:val="0"/>
      <w:marBottom w:val="0"/>
      <w:divBdr>
        <w:top w:val="none" w:sz="0" w:space="0" w:color="auto"/>
        <w:left w:val="none" w:sz="0" w:space="0" w:color="auto"/>
        <w:bottom w:val="none" w:sz="0" w:space="0" w:color="auto"/>
        <w:right w:val="none" w:sz="0" w:space="0" w:color="auto"/>
      </w:divBdr>
    </w:div>
    <w:div w:id="328290784">
      <w:bodyDiv w:val="1"/>
      <w:marLeft w:val="0"/>
      <w:marRight w:val="0"/>
      <w:marTop w:val="0"/>
      <w:marBottom w:val="0"/>
      <w:divBdr>
        <w:top w:val="none" w:sz="0" w:space="0" w:color="auto"/>
        <w:left w:val="none" w:sz="0" w:space="0" w:color="auto"/>
        <w:bottom w:val="none" w:sz="0" w:space="0" w:color="auto"/>
        <w:right w:val="none" w:sz="0" w:space="0" w:color="auto"/>
      </w:divBdr>
    </w:div>
    <w:div w:id="436951838">
      <w:bodyDiv w:val="1"/>
      <w:marLeft w:val="0"/>
      <w:marRight w:val="0"/>
      <w:marTop w:val="0"/>
      <w:marBottom w:val="0"/>
      <w:divBdr>
        <w:top w:val="none" w:sz="0" w:space="0" w:color="auto"/>
        <w:left w:val="none" w:sz="0" w:space="0" w:color="auto"/>
        <w:bottom w:val="none" w:sz="0" w:space="0" w:color="auto"/>
        <w:right w:val="none" w:sz="0" w:space="0" w:color="auto"/>
      </w:divBdr>
    </w:div>
    <w:div w:id="454059136">
      <w:bodyDiv w:val="1"/>
      <w:marLeft w:val="0"/>
      <w:marRight w:val="0"/>
      <w:marTop w:val="0"/>
      <w:marBottom w:val="0"/>
      <w:divBdr>
        <w:top w:val="none" w:sz="0" w:space="0" w:color="auto"/>
        <w:left w:val="none" w:sz="0" w:space="0" w:color="auto"/>
        <w:bottom w:val="none" w:sz="0" w:space="0" w:color="auto"/>
        <w:right w:val="none" w:sz="0" w:space="0" w:color="auto"/>
      </w:divBdr>
      <w:divsChild>
        <w:div w:id="1199512558">
          <w:marLeft w:val="0"/>
          <w:marRight w:val="0"/>
          <w:marTop w:val="0"/>
          <w:marBottom w:val="0"/>
          <w:divBdr>
            <w:top w:val="none" w:sz="0" w:space="0" w:color="auto"/>
            <w:left w:val="none" w:sz="0" w:space="0" w:color="auto"/>
            <w:bottom w:val="none" w:sz="0" w:space="0" w:color="auto"/>
            <w:right w:val="none" w:sz="0" w:space="0" w:color="auto"/>
          </w:divBdr>
          <w:divsChild>
            <w:div w:id="184682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0293">
      <w:bodyDiv w:val="1"/>
      <w:marLeft w:val="0"/>
      <w:marRight w:val="0"/>
      <w:marTop w:val="0"/>
      <w:marBottom w:val="0"/>
      <w:divBdr>
        <w:top w:val="none" w:sz="0" w:space="0" w:color="auto"/>
        <w:left w:val="none" w:sz="0" w:space="0" w:color="auto"/>
        <w:bottom w:val="none" w:sz="0" w:space="0" w:color="auto"/>
        <w:right w:val="none" w:sz="0" w:space="0" w:color="auto"/>
      </w:divBdr>
    </w:div>
    <w:div w:id="829176277">
      <w:bodyDiv w:val="1"/>
      <w:marLeft w:val="0"/>
      <w:marRight w:val="0"/>
      <w:marTop w:val="0"/>
      <w:marBottom w:val="0"/>
      <w:divBdr>
        <w:top w:val="none" w:sz="0" w:space="0" w:color="auto"/>
        <w:left w:val="none" w:sz="0" w:space="0" w:color="auto"/>
        <w:bottom w:val="none" w:sz="0" w:space="0" w:color="auto"/>
        <w:right w:val="none" w:sz="0" w:space="0" w:color="auto"/>
      </w:divBdr>
    </w:div>
    <w:div w:id="852885818">
      <w:bodyDiv w:val="1"/>
      <w:marLeft w:val="0"/>
      <w:marRight w:val="0"/>
      <w:marTop w:val="0"/>
      <w:marBottom w:val="0"/>
      <w:divBdr>
        <w:top w:val="none" w:sz="0" w:space="0" w:color="auto"/>
        <w:left w:val="none" w:sz="0" w:space="0" w:color="auto"/>
        <w:bottom w:val="none" w:sz="0" w:space="0" w:color="auto"/>
        <w:right w:val="none" w:sz="0" w:space="0" w:color="auto"/>
      </w:divBdr>
    </w:div>
    <w:div w:id="1175337090">
      <w:bodyDiv w:val="1"/>
      <w:marLeft w:val="0"/>
      <w:marRight w:val="0"/>
      <w:marTop w:val="0"/>
      <w:marBottom w:val="0"/>
      <w:divBdr>
        <w:top w:val="none" w:sz="0" w:space="0" w:color="auto"/>
        <w:left w:val="none" w:sz="0" w:space="0" w:color="auto"/>
        <w:bottom w:val="none" w:sz="0" w:space="0" w:color="auto"/>
        <w:right w:val="none" w:sz="0" w:space="0" w:color="auto"/>
      </w:divBdr>
    </w:div>
    <w:div w:id="1450930811">
      <w:bodyDiv w:val="1"/>
      <w:marLeft w:val="0"/>
      <w:marRight w:val="0"/>
      <w:marTop w:val="0"/>
      <w:marBottom w:val="0"/>
      <w:divBdr>
        <w:top w:val="none" w:sz="0" w:space="0" w:color="auto"/>
        <w:left w:val="none" w:sz="0" w:space="0" w:color="auto"/>
        <w:bottom w:val="none" w:sz="0" w:space="0" w:color="auto"/>
        <w:right w:val="none" w:sz="0" w:space="0" w:color="auto"/>
      </w:divBdr>
      <w:divsChild>
        <w:div w:id="555707695">
          <w:marLeft w:val="0"/>
          <w:marRight w:val="0"/>
          <w:marTop w:val="0"/>
          <w:marBottom w:val="0"/>
          <w:divBdr>
            <w:top w:val="none" w:sz="0" w:space="0" w:color="auto"/>
            <w:left w:val="none" w:sz="0" w:space="0" w:color="auto"/>
            <w:bottom w:val="none" w:sz="0" w:space="0" w:color="auto"/>
            <w:right w:val="none" w:sz="0" w:space="0" w:color="auto"/>
          </w:divBdr>
          <w:divsChild>
            <w:div w:id="586692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287533">
      <w:bodyDiv w:val="1"/>
      <w:marLeft w:val="0"/>
      <w:marRight w:val="0"/>
      <w:marTop w:val="0"/>
      <w:marBottom w:val="0"/>
      <w:divBdr>
        <w:top w:val="none" w:sz="0" w:space="0" w:color="auto"/>
        <w:left w:val="none" w:sz="0" w:space="0" w:color="auto"/>
        <w:bottom w:val="none" w:sz="0" w:space="0" w:color="auto"/>
        <w:right w:val="none" w:sz="0" w:space="0" w:color="auto"/>
      </w:divBdr>
      <w:divsChild>
        <w:div w:id="1260747950">
          <w:marLeft w:val="0"/>
          <w:marRight w:val="0"/>
          <w:marTop w:val="0"/>
          <w:marBottom w:val="0"/>
          <w:divBdr>
            <w:top w:val="none" w:sz="0" w:space="0" w:color="auto"/>
            <w:left w:val="none" w:sz="0" w:space="0" w:color="auto"/>
            <w:bottom w:val="none" w:sz="0" w:space="0" w:color="auto"/>
            <w:right w:val="none" w:sz="0" w:space="0" w:color="auto"/>
          </w:divBdr>
          <w:divsChild>
            <w:div w:id="58919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543528">
      <w:bodyDiv w:val="1"/>
      <w:marLeft w:val="0"/>
      <w:marRight w:val="0"/>
      <w:marTop w:val="0"/>
      <w:marBottom w:val="0"/>
      <w:divBdr>
        <w:top w:val="none" w:sz="0" w:space="0" w:color="auto"/>
        <w:left w:val="none" w:sz="0" w:space="0" w:color="auto"/>
        <w:bottom w:val="none" w:sz="0" w:space="0" w:color="auto"/>
        <w:right w:val="none" w:sz="0" w:space="0" w:color="auto"/>
      </w:divBdr>
    </w:div>
    <w:div w:id="1661808951">
      <w:bodyDiv w:val="1"/>
      <w:marLeft w:val="0"/>
      <w:marRight w:val="0"/>
      <w:marTop w:val="0"/>
      <w:marBottom w:val="0"/>
      <w:divBdr>
        <w:top w:val="none" w:sz="0" w:space="0" w:color="auto"/>
        <w:left w:val="none" w:sz="0" w:space="0" w:color="auto"/>
        <w:bottom w:val="none" w:sz="0" w:space="0" w:color="auto"/>
        <w:right w:val="none" w:sz="0" w:space="0" w:color="auto"/>
      </w:divBdr>
    </w:div>
    <w:div w:id="1827894014">
      <w:bodyDiv w:val="1"/>
      <w:marLeft w:val="0"/>
      <w:marRight w:val="0"/>
      <w:marTop w:val="0"/>
      <w:marBottom w:val="0"/>
      <w:divBdr>
        <w:top w:val="none" w:sz="0" w:space="0" w:color="auto"/>
        <w:left w:val="none" w:sz="0" w:space="0" w:color="auto"/>
        <w:bottom w:val="none" w:sz="0" w:space="0" w:color="auto"/>
        <w:right w:val="none" w:sz="0" w:space="0" w:color="auto"/>
      </w:divBdr>
    </w:div>
    <w:div w:id="1915698856">
      <w:bodyDiv w:val="1"/>
      <w:marLeft w:val="0"/>
      <w:marRight w:val="0"/>
      <w:marTop w:val="0"/>
      <w:marBottom w:val="0"/>
      <w:divBdr>
        <w:top w:val="none" w:sz="0" w:space="0" w:color="auto"/>
        <w:left w:val="none" w:sz="0" w:space="0" w:color="auto"/>
        <w:bottom w:val="none" w:sz="0" w:space="0" w:color="auto"/>
        <w:right w:val="none" w:sz="0" w:space="0" w:color="auto"/>
      </w:divBdr>
    </w:div>
    <w:div w:id="202161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91A1E0-1101-4747-B1D1-48C0677B7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962</TotalTime>
  <Pages>4</Pages>
  <Words>1539</Words>
  <Characters>8777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Studdard</dc:creator>
  <cp:keywords/>
  <dc:description/>
  <cp:lastModifiedBy>Lauren Studdard</cp:lastModifiedBy>
  <cp:revision>40</cp:revision>
  <dcterms:created xsi:type="dcterms:W3CDTF">2023-10-27T17:15:00Z</dcterms:created>
  <dcterms:modified xsi:type="dcterms:W3CDTF">2024-10-28T16:13:00Z</dcterms:modified>
</cp:coreProperties>
</file>