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B5C27" w14:textId="12C3ABCE" w:rsidR="00C20ABF" w:rsidRPr="000322BD" w:rsidRDefault="00465BBD" w:rsidP="00465BBD">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t xml:space="preserve">The State Board of Dental Examiners (Board) </w:t>
      </w:r>
      <w:r w:rsidR="006D2F1E">
        <w:rPr>
          <w:rFonts w:ascii="Times New Roman" w:hAnsi="Times New Roman" w:cs="Times New Roman"/>
          <w:sz w:val="24"/>
          <w:szCs w:val="24"/>
        </w:rPr>
        <w:t>proposes this amendment to</w:t>
      </w:r>
      <w:r w:rsidR="005B7AB8" w:rsidRPr="00AF538A">
        <w:rPr>
          <w:rFonts w:ascii="Times New Roman" w:hAnsi="Times New Roman" w:cs="Times New Roman"/>
          <w:sz w:val="24"/>
          <w:szCs w:val="24"/>
        </w:rPr>
        <w:t xml:space="preserve"> </w:t>
      </w:r>
      <w:r w:rsidRPr="00AF538A">
        <w:rPr>
          <w:rFonts w:ascii="Times New Roman" w:hAnsi="Times New Roman" w:cs="Times New Roman"/>
          <w:sz w:val="24"/>
          <w:szCs w:val="24"/>
        </w:rPr>
        <w:t xml:space="preserve">22 TAC </w:t>
      </w:r>
      <w:r w:rsidR="00C574FA" w:rsidRPr="00AF538A">
        <w:rPr>
          <w:rFonts w:ascii="Times New Roman" w:hAnsi="Times New Roman" w:cs="Times New Roman"/>
          <w:sz w:val="24"/>
          <w:szCs w:val="24"/>
        </w:rPr>
        <w:t>§</w:t>
      </w:r>
      <w:r w:rsidR="005E1C28" w:rsidRPr="00AF538A">
        <w:rPr>
          <w:rFonts w:ascii="Times New Roman" w:hAnsi="Times New Roman" w:cs="Times New Roman"/>
          <w:sz w:val="24"/>
          <w:szCs w:val="24"/>
        </w:rPr>
        <w:t>1</w:t>
      </w:r>
      <w:r w:rsidR="006D2F1E">
        <w:rPr>
          <w:rFonts w:ascii="Times New Roman" w:hAnsi="Times New Roman" w:cs="Times New Roman"/>
          <w:sz w:val="24"/>
          <w:szCs w:val="24"/>
        </w:rPr>
        <w:t>07.</w:t>
      </w:r>
      <w:r w:rsidR="00E53413">
        <w:rPr>
          <w:rFonts w:ascii="Times New Roman" w:hAnsi="Times New Roman" w:cs="Times New Roman"/>
          <w:sz w:val="24"/>
          <w:szCs w:val="24"/>
        </w:rPr>
        <w:t>4</w:t>
      </w:r>
      <w:r w:rsidR="00076D07">
        <w:rPr>
          <w:rFonts w:ascii="Times New Roman" w:hAnsi="Times New Roman" w:cs="Times New Roman"/>
          <w:sz w:val="24"/>
          <w:szCs w:val="24"/>
        </w:rPr>
        <w:t>00</w:t>
      </w:r>
      <w:r w:rsidRPr="00AF538A">
        <w:rPr>
          <w:rFonts w:ascii="Times New Roman" w:hAnsi="Times New Roman" w:cs="Times New Roman"/>
          <w:sz w:val="24"/>
          <w:szCs w:val="24"/>
        </w:rPr>
        <w:t xml:space="preserve">, concerning </w:t>
      </w:r>
      <w:r w:rsidR="00E53413">
        <w:rPr>
          <w:rFonts w:ascii="Times New Roman" w:eastAsia="Times New Roman" w:hAnsi="Times New Roman" w:cs="Times New Roman"/>
          <w:sz w:val="24"/>
          <w:szCs w:val="24"/>
        </w:rPr>
        <w:t>c</w:t>
      </w:r>
      <w:r w:rsidR="00E53413" w:rsidRPr="00A6376E">
        <w:rPr>
          <w:rFonts w:ascii="Times New Roman" w:eastAsia="Times New Roman" w:hAnsi="Times New Roman" w:cs="Times New Roman"/>
          <w:sz w:val="24"/>
          <w:szCs w:val="24"/>
        </w:rPr>
        <w:t xml:space="preserve">ollection and </w:t>
      </w:r>
      <w:r w:rsidR="00E53413">
        <w:rPr>
          <w:rFonts w:ascii="Times New Roman" w:eastAsia="Times New Roman" w:hAnsi="Times New Roman" w:cs="Times New Roman"/>
          <w:sz w:val="24"/>
          <w:szCs w:val="24"/>
        </w:rPr>
        <w:t>r</w:t>
      </w:r>
      <w:r w:rsidR="00E53413" w:rsidRPr="00A6376E">
        <w:rPr>
          <w:rFonts w:ascii="Times New Roman" w:eastAsia="Times New Roman" w:hAnsi="Times New Roman" w:cs="Times New Roman"/>
          <w:sz w:val="24"/>
          <w:szCs w:val="24"/>
        </w:rPr>
        <w:t xml:space="preserve">eporting of </w:t>
      </w:r>
      <w:r w:rsidR="00E53413">
        <w:rPr>
          <w:rFonts w:ascii="Times New Roman" w:eastAsia="Times New Roman" w:hAnsi="Times New Roman" w:cs="Times New Roman"/>
          <w:sz w:val="24"/>
          <w:szCs w:val="24"/>
        </w:rPr>
        <w:t>e</w:t>
      </w:r>
      <w:r w:rsidR="00E53413" w:rsidRPr="00A6376E">
        <w:rPr>
          <w:rFonts w:ascii="Times New Roman" w:eastAsia="Times New Roman" w:hAnsi="Times New Roman" w:cs="Times New Roman"/>
          <w:sz w:val="24"/>
          <w:szCs w:val="24"/>
        </w:rPr>
        <w:t xml:space="preserve">nforcement and </w:t>
      </w:r>
      <w:r w:rsidR="00E53413">
        <w:rPr>
          <w:rFonts w:ascii="Times New Roman" w:eastAsia="Times New Roman" w:hAnsi="Times New Roman" w:cs="Times New Roman"/>
          <w:sz w:val="24"/>
          <w:szCs w:val="24"/>
        </w:rPr>
        <w:t>l</w:t>
      </w:r>
      <w:r w:rsidR="00E53413" w:rsidRPr="00A6376E">
        <w:rPr>
          <w:rFonts w:ascii="Times New Roman" w:eastAsia="Times New Roman" w:hAnsi="Times New Roman" w:cs="Times New Roman"/>
          <w:sz w:val="24"/>
          <w:szCs w:val="24"/>
        </w:rPr>
        <w:t xml:space="preserve">icensing </w:t>
      </w:r>
      <w:r w:rsidR="00E53413">
        <w:rPr>
          <w:rFonts w:ascii="Times New Roman" w:eastAsia="Times New Roman" w:hAnsi="Times New Roman" w:cs="Times New Roman"/>
          <w:sz w:val="24"/>
          <w:szCs w:val="24"/>
        </w:rPr>
        <w:t>d</w:t>
      </w:r>
      <w:r w:rsidR="00E53413" w:rsidRPr="00A6376E">
        <w:rPr>
          <w:rFonts w:ascii="Times New Roman" w:eastAsia="Times New Roman" w:hAnsi="Times New Roman" w:cs="Times New Roman"/>
          <w:sz w:val="24"/>
          <w:szCs w:val="24"/>
        </w:rPr>
        <w:t>ata</w:t>
      </w:r>
      <w:r w:rsidR="00E53413">
        <w:rPr>
          <w:rFonts w:ascii="Times New Roman" w:eastAsia="Times New Roman" w:hAnsi="Times New Roman" w:cs="Times New Roman"/>
          <w:sz w:val="24"/>
          <w:szCs w:val="24"/>
        </w:rPr>
        <w:t>.</w:t>
      </w:r>
      <w:bookmarkStart w:id="0" w:name="_GoBack"/>
      <w:bookmarkEnd w:id="0"/>
      <w:r w:rsidRPr="00AF538A">
        <w:rPr>
          <w:rFonts w:ascii="Times New Roman" w:hAnsi="Times New Roman" w:cs="Times New Roman"/>
          <w:sz w:val="24"/>
          <w:szCs w:val="24"/>
        </w:rPr>
        <w:t xml:space="preserve"> </w:t>
      </w:r>
      <w:r w:rsidR="000322BD">
        <w:rPr>
          <w:rFonts w:ascii="Times New Roman" w:hAnsi="Times New Roman" w:cs="Times New Roman"/>
          <w:sz w:val="24"/>
          <w:szCs w:val="24"/>
        </w:rPr>
        <w:t xml:space="preserve">Because the Board no longer issues citations, the proposed amendment removes the citation </w:t>
      </w:r>
      <w:r w:rsidR="000322BD" w:rsidRPr="000322BD">
        <w:rPr>
          <w:rFonts w:ascii="Times New Roman" w:hAnsi="Times New Roman" w:cs="Times New Roman"/>
          <w:sz w:val="24"/>
          <w:szCs w:val="24"/>
        </w:rPr>
        <w:t>language from the rule. Instead, the Board issues administrative penalties pursuant to §264.001 of the Dental Practice Act, and board rule 22 TAC §107.201.</w:t>
      </w:r>
      <w:r w:rsidR="00C20ABF" w:rsidRPr="000322BD">
        <w:rPr>
          <w:rFonts w:ascii="Times New Roman" w:hAnsi="Times New Roman" w:cs="Times New Roman"/>
          <w:sz w:val="24"/>
          <w:szCs w:val="24"/>
        </w:rPr>
        <w:t xml:space="preserve"> </w:t>
      </w:r>
    </w:p>
    <w:p w14:paraId="1E0E4C70" w14:textId="259720DB" w:rsidR="006E21E7" w:rsidRDefault="006E21E7" w:rsidP="00CB1069">
      <w:pPr>
        <w:spacing w:after="0" w:line="240" w:lineRule="auto"/>
        <w:rPr>
          <w:rFonts w:ascii="Times New Roman" w:hAnsi="Times New Roman" w:cs="Times New Roman"/>
          <w:sz w:val="24"/>
          <w:szCs w:val="24"/>
        </w:rPr>
      </w:pPr>
    </w:p>
    <w:p w14:paraId="378B832B"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14:paraId="7E33DBF0" w14:textId="77777777" w:rsidR="006E21E7" w:rsidRPr="00675328" w:rsidRDefault="006E21E7" w:rsidP="006E21E7">
      <w:pPr>
        <w:spacing w:after="0" w:line="240" w:lineRule="auto"/>
        <w:rPr>
          <w:rFonts w:ascii="Times New Roman" w:hAnsi="Times New Roman" w:cs="Times New Roman"/>
          <w:sz w:val="24"/>
          <w:szCs w:val="24"/>
        </w:rPr>
      </w:pPr>
    </w:p>
    <w:p w14:paraId="268985CB" w14:textId="52D1126D"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will be the protection of public safety and welfare. </w:t>
      </w:r>
    </w:p>
    <w:p w14:paraId="04DE7D1D" w14:textId="77777777" w:rsidR="006E21E7" w:rsidRPr="00675328" w:rsidRDefault="006E21E7" w:rsidP="006E21E7">
      <w:pPr>
        <w:spacing w:after="0" w:line="240" w:lineRule="auto"/>
        <w:rPr>
          <w:rFonts w:ascii="Times New Roman" w:hAnsi="Times New Roman" w:cs="Times New Roman"/>
          <w:sz w:val="24"/>
          <w:szCs w:val="24"/>
        </w:rPr>
      </w:pPr>
    </w:p>
    <w:p w14:paraId="66727622"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LOCAL EMPLOYMENT IMPACT STATEMENT: Casey Nichols has also determined that the proposed rule does not affect local economies and employment. </w:t>
      </w:r>
    </w:p>
    <w:p w14:paraId="502AE3D2" w14:textId="77777777" w:rsidR="006E21E7" w:rsidRPr="00675328" w:rsidRDefault="006E21E7" w:rsidP="006E21E7">
      <w:pPr>
        <w:spacing w:after="0" w:line="240" w:lineRule="auto"/>
        <w:rPr>
          <w:rFonts w:ascii="Times New Roman" w:hAnsi="Times New Roman" w:cs="Times New Roman"/>
          <w:sz w:val="24"/>
          <w:szCs w:val="24"/>
        </w:rPr>
      </w:pPr>
    </w:p>
    <w:p w14:paraId="1872D798" w14:textId="7C0F7FEE"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t>
      </w:r>
    </w:p>
    <w:p w14:paraId="08C58FB4" w14:textId="77777777" w:rsidR="006E21E7" w:rsidRPr="00675328" w:rsidRDefault="006E21E7" w:rsidP="006E21E7">
      <w:pPr>
        <w:spacing w:after="0" w:line="240" w:lineRule="auto"/>
        <w:rPr>
          <w:rFonts w:ascii="Times New Roman" w:hAnsi="Times New Roman" w:cs="Times New Roman"/>
          <w:sz w:val="24"/>
          <w:szCs w:val="24"/>
        </w:rPr>
      </w:pPr>
    </w:p>
    <w:p w14:paraId="1E26A9AF" w14:textId="77777777"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w:t>
      </w:r>
      <w:r>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does not create or eliminate a government program; </w:t>
      </w:r>
    </w:p>
    <w:p w14:paraId="4C486861" w14:textId="2C96B218" w:rsidR="006E21E7" w:rsidRPr="00675328" w:rsidRDefault="006E21E7" w:rsidP="006E21E7">
      <w:pPr>
        <w:spacing w:after="0" w:line="240" w:lineRule="auto"/>
        <w:rPr>
          <w:rFonts w:ascii="Times New Roman" w:hAnsi="Times New Roman" w:cs="Times New Roman"/>
          <w:sz w:val="24"/>
          <w:szCs w:val="24"/>
        </w:rPr>
      </w:pPr>
      <w:r w:rsidRPr="00594F2B">
        <w:rPr>
          <w:rFonts w:ascii="Times New Roman" w:hAnsi="Times New Roman" w:cs="Times New Roman"/>
          <w:sz w:val="24"/>
          <w:szCs w:val="24"/>
        </w:rPr>
        <w:t xml:space="preserve">(2) </w:t>
      </w:r>
      <w:r w:rsidR="00310B3D">
        <w:rPr>
          <w:rFonts w:ascii="Times New Roman" w:hAnsi="Times New Roman" w:cs="Times New Roman"/>
          <w:sz w:val="24"/>
          <w:szCs w:val="24"/>
        </w:rPr>
        <w:t>implementation of the proposed rule does not require the creation or elimination of employee positions;</w:t>
      </w:r>
      <w:r w:rsidRPr="00594F2B">
        <w:rPr>
          <w:rFonts w:ascii="Times New Roman" w:hAnsi="Times New Roman" w:cs="Times New Roman"/>
          <w:sz w:val="24"/>
          <w:szCs w:val="24"/>
        </w:rPr>
        <w:t xml:space="preserve"> (3) </w:t>
      </w:r>
      <w:r w:rsidR="00310B3D">
        <w:rPr>
          <w:rFonts w:ascii="Times New Roman" w:hAnsi="Times New Roman" w:cs="Times New Roman"/>
          <w:sz w:val="24"/>
          <w:szCs w:val="24"/>
        </w:rPr>
        <w:t xml:space="preserve">the implementation of the proposed rule does not require an increase or decrease in future appropriations; </w:t>
      </w:r>
      <w:r w:rsidRPr="00675328">
        <w:rPr>
          <w:rFonts w:ascii="Times New Roman" w:hAnsi="Times New Roman" w:cs="Times New Roman"/>
          <w:sz w:val="24"/>
          <w:szCs w:val="24"/>
        </w:rPr>
        <w:t xml:space="preserve">(4) the proposed rule </w:t>
      </w:r>
      <w:r w:rsidRPr="00EF6B9F">
        <w:rPr>
          <w:rFonts w:ascii="Times New Roman" w:hAnsi="Times New Roman" w:cs="Times New Roman"/>
          <w:sz w:val="24"/>
          <w:szCs w:val="24"/>
        </w:rPr>
        <w:t>does</w:t>
      </w:r>
      <w:r w:rsidRPr="00675328">
        <w:rPr>
          <w:rFonts w:ascii="Times New Roman" w:hAnsi="Times New Roman" w:cs="Times New Roman"/>
          <w:sz w:val="24"/>
          <w:szCs w:val="24"/>
        </w:rPr>
        <w:t xml:space="preserve"> </w:t>
      </w:r>
      <w:r w:rsidR="00310B3D">
        <w:rPr>
          <w:rFonts w:ascii="Times New Roman" w:hAnsi="Times New Roman" w:cs="Times New Roman"/>
          <w:sz w:val="24"/>
          <w:szCs w:val="24"/>
        </w:rPr>
        <w:t xml:space="preserve">not </w:t>
      </w:r>
      <w:r>
        <w:rPr>
          <w:rFonts w:ascii="Times New Roman" w:hAnsi="Times New Roman" w:cs="Times New Roman"/>
          <w:sz w:val="24"/>
          <w:szCs w:val="24"/>
        </w:rPr>
        <w:t>r</w:t>
      </w:r>
      <w:r w:rsidRPr="00675328">
        <w:rPr>
          <w:rFonts w:ascii="Times New Roman" w:hAnsi="Times New Roman" w:cs="Times New Roman"/>
          <w:sz w:val="24"/>
          <w:szCs w:val="24"/>
        </w:rPr>
        <w:t>equire an increase in fees paid to the agenc</w:t>
      </w:r>
      <w:r>
        <w:rPr>
          <w:rFonts w:ascii="Times New Roman" w:hAnsi="Times New Roman" w:cs="Times New Roman"/>
          <w:sz w:val="24"/>
          <w:szCs w:val="24"/>
        </w:rPr>
        <w:t>y</w:t>
      </w:r>
      <w:r w:rsidRPr="00675328">
        <w:rPr>
          <w:rFonts w:ascii="Times New Roman" w:hAnsi="Times New Roman" w:cs="Times New Roman"/>
          <w:sz w:val="24"/>
          <w:szCs w:val="24"/>
        </w:rPr>
        <w:t xml:space="preserve">; (5) the proposed rule </w:t>
      </w:r>
      <w:r w:rsidR="000322BD">
        <w:rPr>
          <w:rFonts w:ascii="Times New Roman" w:hAnsi="Times New Roman" w:cs="Times New Roman"/>
          <w:sz w:val="24"/>
          <w:szCs w:val="24"/>
        </w:rPr>
        <w:t>creates</w:t>
      </w:r>
      <w:r w:rsidRPr="00675328">
        <w:rPr>
          <w:rFonts w:ascii="Times New Roman" w:hAnsi="Times New Roman" w:cs="Times New Roman"/>
          <w:sz w:val="24"/>
          <w:szCs w:val="24"/>
        </w:rPr>
        <w:t xml:space="preserve"> a new regulation; (6) the proposed rule does </w:t>
      </w:r>
      <w:r>
        <w:rPr>
          <w:rFonts w:ascii="Times New Roman" w:hAnsi="Times New Roman" w:cs="Times New Roman"/>
          <w:sz w:val="24"/>
          <w:szCs w:val="24"/>
        </w:rPr>
        <w:t xml:space="preserve">not </w:t>
      </w:r>
      <w:r w:rsidRPr="00675328">
        <w:rPr>
          <w:rFonts w:ascii="Times New Roman" w:hAnsi="Times New Roman" w:cs="Times New Roman"/>
          <w:sz w:val="24"/>
          <w:szCs w:val="24"/>
        </w:rPr>
        <w:t xml:space="preserve">expand an existing regulation; (7) the proposed rule does </w:t>
      </w:r>
      <w:r w:rsidR="00310B3D">
        <w:rPr>
          <w:rFonts w:ascii="Times New Roman" w:hAnsi="Times New Roman" w:cs="Times New Roman"/>
          <w:sz w:val="24"/>
          <w:szCs w:val="24"/>
        </w:rPr>
        <w:t xml:space="preserve">not </w:t>
      </w:r>
      <w:r w:rsidRPr="00675328">
        <w:rPr>
          <w:rFonts w:ascii="Times New Roman" w:hAnsi="Times New Roman" w:cs="Times New Roman"/>
          <w:sz w:val="24"/>
          <w:szCs w:val="24"/>
        </w:rPr>
        <w:t xml:space="preserve">increase the number of individuals subject to </w:t>
      </w:r>
      <w:r>
        <w:rPr>
          <w:rFonts w:ascii="Times New Roman" w:hAnsi="Times New Roman" w:cs="Times New Roman"/>
          <w:sz w:val="24"/>
          <w:szCs w:val="24"/>
        </w:rPr>
        <w:t xml:space="preserve">the rule’s applicability; </w:t>
      </w:r>
      <w:r w:rsidRPr="00675328">
        <w:rPr>
          <w:rFonts w:ascii="Times New Roman" w:hAnsi="Times New Roman" w:cs="Times New Roman"/>
          <w:sz w:val="24"/>
          <w:szCs w:val="24"/>
        </w:rPr>
        <w:t>and (8) the proposed rule</w:t>
      </w:r>
      <w:r>
        <w:rPr>
          <w:rFonts w:ascii="Times New Roman" w:hAnsi="Times New Roman" w:cs="Times New Roman"/>
          <w:sz w:val="24"/>
          <w:szCs w:val="24"/>
        </w:rPr>
        <w:t xml:space="preserve"> does not</w:t>
      </w:r>
      <w:r w:rsidRPr="00675328">
        <w:rPr>
          <w:rFonts w:ascii="Times New Roman" w:hAnsi="Times New Roman" w:cs="Times New Roman"/>
          <w:sz w:val="24"/>
          <w:szCs w:val="24"/>
        </w:rPr>
        <w:t xml:space="preserve"> positively or adversely affect the state</w:t>
      </w:r>
      <w:r>
        <w:rPr>
          <w:rFonts w:ascii="Times New Roman" w:hAnsi="Times New Roman" w:cs="Times New Roman"/>
          <w:sz w:val="24"/>
          <w:szCs w:val="24"/>
        </w:rPr>
        <w:t>’</w:t>
      </w:r>
      <w:r w:rsidRPr="00675328">
        <w:rPr>
          <w:rFonts w:ascii="Times New Roman" w:hAnsi="Times New Roman" w:cs="Times New Roman"/>
          <w:sz w:val="24"/>
          <w:szCs w:val="24"/>
        </w:rPr>
        <w:t xml:space="preserve">s economy. </w:t>
      </w:r>
    </w:p>
    <w:p w14:paraId="10D927DC" w14:textId="77777777" w:rsidR="006E21E7" w:rsidRPr="00675328" w:rsidRDefault="006E21E7" w:rsidP="006E21E7">
      <w:pPr>
        <w:spacing w:after="0" w:line="240" w:lineRule="auto"/>
        <w:rPr>
          <w:rFonts w:ascii="Times New Roman" w:hAnsi="Times New Roman" w:cs="Times New Roman"/>
          <w:sz w:val="24"/>
          <w:szCs w:val="24"/>
        </w:rPr>
      </w:pPr>
    </w:p>
    <w:p w14:paraId="6B826EFA" w14:textId="6F0018F7" w:rsidR="00310B3D" w:rsidRDefault="00310B3D" w:rsidP="00310B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COST TO REGULATED PERSONS: This proposed rule does not impose a cost on a regulated person and, therefore, is not subject to Tex. Gov't. Code §2001.0045. </w:t>
      </w:r>
    </w:p>
    <w:p w14:paraId="673D5A47" w14:textId="77777777" w:rsidR="006E21E7" w:rsidRPr="00675328" w:rsidRDefault="006E21E7" w:rsidP="006E21E7">
      <w:pPr>
        <w:spacing w:after="0" w:line="240" w:lineRule="auto"/>
        <w:rPr>
          <w:rFonts w:ascii="Times New Roman" w:hAnsi="Times New Roman" w:cs="Times New Roman"/>
          <w:sz w:val="24"/>
          <w:szCs w:val="24"/>
        </w:rPr>
      </w:pPr>
    </w:p>
    <w:p w14:paraId="37BD3A6C"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Comments on the </w:t>
      </w:r>
      <w:r>
        <w:rPr>
          <w:rFonts w:ascii="Times New Roman" w:hAnsi="Times New Roman" w:cs="Times New Roman"/>
          <w:sz w:val="24"/>
          <w:szCs w:val="24"/>
        </w:rPr>
        <w:t>proposed rule</w:t>
      </w:r>
      <w:r w:rsidRPr="00675328">
        <w:rPr>
          <w:rFonts w:ascii="Times New Roman" w:hAnsi="Times New Roman" w:cs="Times New Roman"/>
          <w:sz w:val="24"/>
          <w:szCs w:val="24"/>
        </w:rPr>
        <w:t xml:space="preserve"> may be submitted to Casey Nichols, Executive Director, 1801 Congress Avenue, Suite 8.600, Austin, Texas 78701, by fax to (512) 649-2482, or by email to official_rules_comments@tsbde.texas.gov for 30 days following the date that the proposed rule is published in the </w:t>
      </w:r>
      <w:r w:rsidRPr="00675328">
        <w:rPr>
          <w:rFonts w:ascii="Times New Roman" w:hAnsi="Times New Roman" w:cs="Times New Roman"/>
          <w:i/>
          <w:iCs/>
          <w:sz w:val="24"/>
          <w:szCs w:val="24"/>
        </w:rPr>
        <w:t>Texas Register</w:t>
      </w:r>
      <w:r w:rsidRPr="00675328">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14:paraId="717718E6" w14:textId="77777777" w:rsidR="006E21E7" w:rsidRPr="00675328" w:rsidRDefault="006E21E7" w:rsidP="006E21E7">
      <w:pPr>
        <w:spacing w:after="0" w:line="240" w:lineRule="auto"/>
        <w:rPr>
          <w:rFonts w:ascii="Times New Roman" w:hAnsi="Times New Roman" w:cs="Times New Roman"/>
          <w:sz w:val="24"/>
          <w:szCs w:val="24"/>
        </w:rPr>
      </w:pPr>
    </w:p>
    <w:p w14:paraId="01031D54" w14:textId="71CA9D49"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r w:rsidR="00A45E82">
        <w:rPr>
          <w:rFonts w:ascii="Times New Roman" w:hAnsi="Times New Roman" w:cs="Times New Roman"/>
          <w:sz w:val="24"/>
          <w:szCs w:val="24"/>
        </w:rPr>
        <w:t xml:space="preserve">. </w:t>
      </w:r>
    </w:p>
    <w:p w14:paraId="6F88D709" w14:textId="77777777" w:rsidR="006E21E7" w:rsidRPr="00675328" w:rsidRDefault="006E21E7" w:rsidP="006E21E7">
      <w:pPr>
        <w:spacing w:after="0" w:line="240" w:lineRule="auto"/>
        <w:rPr>
          <w:rFonts w:ascii="Times New Roman" w:hAnsi="Times New Roman" w:cs="Times New Roman"/>
          <w:sz w:val="24"/>
          <w:szCs w:val="24"/>
        </w:rPr>
      </w:pPr>
    </w:p>
    <w:p w14:paraId="6F840892" w14:textId="2C3B20C1" w:rsidR="006700BE" w:rsidRDefault="00310B3D" w:rsidP="00CB106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No statutes are affected by this proposed rule.</w:t>
      </w:r>
    </w:p>
    <w:p w14:paraId="73646460" w14:textId="77777777" w:rsidR="000322BD" w:rsidRPr="00AF538A" w:rsidRDefault="000322BD" w:rsidP="00CB1069">
      <w:pPr>
        <w:spacing w:after="0" w:line="240" w:lineRule="auto"/>
        <w:rPr>
          <w:rFonts w:ascii="Times New Roman" w:hAnsi="Times New Roman" w:cs="Times New Roman"/>
          <w:sz w:val="24"/>
          <w:szCs w:val="24"/>
        </w:rPr>
      </w:pPr>
    </w:p>
    <w:p w14:paraId="426B9A32" w14:textId="77777777" w:rsidR="00CB1069" w:rsidRPr="00AF538A" w:rsidRDefault="00CB1069" w:rsidP="00CB1069">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t>Legal counsel for the Board has reviewed the adopted rule and has found it to be within the Board's authority to adopt.</w:t>
      </w:r>
    </w:p>
    <w:p w14:paraId="240DF7A8" w14:textId="77777777" w:rsidR="00465BBD" w:rsidRPr="00AF538A" w:rsidRDefault="00465BBD" w:rsidP="00465BBD">
      <w:pPr>
        <w:spacing w:after="0" w:line="240" w:lineRule="auto"/>
        <w:rPr>
          <w:rFonts w:ascii="Times New Roman" w:hAnsi="Times New Roman" w:cs="Times New Roman"/>
          <w:sz w:val="24"/>
          <w:szCs w:val="24"/>
        </w:rPr>
      </w:pPr>
    </w:p>
    <w:p w14:paraId="46E2BBF3" w14:textId="77777777" w:rsidR="00465BBD" w:rsidRPr="00AF538A"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&lt;rule&gt;</w:t>
      </w:r>
    </w:p>
    <w:p w14:paraId="035143E8" w14:textId="77777777" w:rsidR="00171F70" w:rsidRPr="00AF538A" w:rsidRDefault="00171F70" w:rsidP="00465BBD">
      <w:pPr>
        <w:spacing w:after="0" w:line="240" w:lineRule="auto"/>
        <w:rPr>
          <w:rFonts w:ascii="Times New Roman" w:eastAsia="Times New Roman" w:hAnsi="Times New Roman" w:cs="Times New Roman"/>
          <w:sz w:val="24"/>
          <w:szCs w:val="24"/>
        </w:rPr>
      </w:pPr>
    </w:p>
    <w:p w14:paraId="5FA6BA9A" w14:textId="15F6C262" w:rsidR="00465BBD"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§1</w:t>
      </w:r>
      <w:r w:rsidR="00C96851">
        <w:rPr>
          <w:rFonts w:ascii="Times New Roman" w:eastAsia="Times New Roman" w:hAnsi="Times New Roman" w:cs="Times New Roman"/>
          <w:sz w:val="24"/>
          <w:szCs w:val="24"/>
        </w:rPr>
        <w:t>07</w:t>
      </w:r>
      <w:r w:rsidRPr="00AF538A">
        <w:rPr>
          <w:rFonts w:ascii="Times New Roman" w:eastAsia="Times New Roman" w:hAnsi="Times New Roman" w:cs="Times New Roman"/>
          <w:sz w:val="24"/>
          <w:szCs w:val="24"/>
        </w:rPr>
        <w:t>.</w:t>
      </w:r>
      <w:r w:rsidR="00A6376E">
        <w:rPr>
          <w:rFonts w:ascii="Times New Roman" w:eastAsia="Times New Roman" w:hAnsi="Times New Roman" w:cs="Times New Roman"/>
          <w:sz w:val="24"/>
          <w:szCs w:val="24"/>
        </w:rPr>
        <w:t>400</w:t>
      </w:r>
      <w:r w:rsidR="00C96851">
        <w:rPr>
          <w:rFonts w:ascii="Times New Roman" w:eastAsia="Times New Roman" w:hAnsi="Times New Roman" w:cs="Times New Roman"/>
          <w:sz w:val="24"/>
          <w:szCs w:val="24"/>
        </w:rPr>
        <w:t>.</w:t>
      </w:r>
      <w:r w:rsidRPr="00AF538A">
        <w:rPr>
          <w:rFonts w:ascii="Times New Roman" w:eastAsia="Times New Roman" w:hAnsi="Times New Roman" w:cs="Times New Roman"/>
          <w:sz w:val="24"/>
          <w:szCs w:val="24"/>
        </w:rPr>
        <w:t xml:space="preserve"> </w:t>
      </w:r>
      <w:r w:rsidR="00A6376E" w:rsidRPr="00A6376E">
        <w:rPr>
          <w:rFonts w:ascii="Times New Roman" w:eastAsia="Times New Roman" w:hAnsi="Times New Roman" w:cs="Times New Roman"/>
          <w:sz w:val="24"/>
          <w:szCs w:val="24"/>
        </w:rPr>
        <w:t>Collection and Reporting of Enforcement and Licensing Data</w:t>
      </w:r>
      <w:r w:rsidR="00A6376E">
        <w:rPr>
          <w:rFonts w:ascii="Times New Roman" w:eastAsia="Times New Roman" w:hAnsi="Times New Roman" w:cs="Times New Roman"/>
          <w:sz w:val="24"/>
          <w:szCs w:val="24"/>
        </w:rPr>
        <w:t>.</w:t>
      </w:r>
    </w:p>
    <w:p w14:paraId="62D6448B" w14:textId="51108626" w:rsidR="00C96851" w:rsidRDefault="00C96851" w:rsidP="00465BBD">
      <w:pPr>
        <w:spacing w:after="0" w:line="240" w:lineRule="auto"/>
        <w:rPr>
          <w:rFonts w:ascii="Times New Roman" w:eastAsia="Times New Roman" w:hAnsi="Times New Roman" w:cs="Times New Roman"/>
          <w:sz w:val="24"/>
          <w:szCs w:val="24"/>
        </w:rPr>
      </w:pPr>
    </w:p>
    <w:p w14:paraId="31CB6305"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(a) All information related to an investigation is confidential, except that the agency shall provide information on a quarterly basis to the Board and the Anesthesia Committee of the Board, and to legislative offices upon request. This information shall consist of de-identified, case specific data reflecting information about jurisdictional, filed complaints involving sedation/anesthesia that were resolved during the reporting period, including, at a minimum, the following data points:</w:t>
      </w:r>
    </w:p>
    <w:p w14:paraId="62A27D52"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(1) Source of initial complaint -- public, other agency, self-report of death, self-report of hospitalization, or initiated by the Board.</w:t>
      </w:r>
    </w:p>
    <w:p w14:paraId="0EAEB013"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(2) Information about licensee:</w:t>
      </w:r>
    </w:p>
    <w:p w14:paraId="5EA570FD"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(A) Whether respondent is Medicaid provider;</w:t>
      </w:r>
    </w:p>
    <w:p w14:paraId="0BEC7A92"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(B) Respondent's highest sedation/anesthesia permit level;</w:t>
      </w:r>
    </w:p>
    <w:p w14:paraId="0A26F2A8"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(C) Whether respondent holds portability privileges; and</w:t>
      </w:r>
    </w:p>
    <w:p w14:paraId="1337D2AD"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(D) Respondent's self-reported practice area.</w:t>
      </w:r>
    </w:p>
    <w:p w14:paraId="5F9A00CD"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(3) Information about patient:</w:t>
      </w:r>
    </w:p>
    <w:p w14:paraId="321D9D07"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(A) Patient ASA, as identified in respondent's dental records and/or determined by Dental Review Panel;</w:t>
      </w:r>
    </w:p>
    <w:p w14:paraId="351DE63E"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(B) Patient age -- 13 and under, between 13 and 18, between 19 and 75, and over 75;</w:t>
      </w:r>
    </w:p>
    <w:p w14:paraId="5716A40D"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(C) Location of the treatment investigated by the agency -- dental office, hospital, ASC, office of </w:t>
      </w:r>
      <w:proofErr w:type="gramStart"/>
      <w:r w:rsidRPr="00A6376E">
        <w:rPr>
          <w:rFonts w:ascii="Times New Roman" w:hAnsi="Times New Roman" w:cs="Times New Roman"/>
          <w:sz w:val="24"/>
          <w:szCs w:val="24"/>
        </w:rPr>
        <w:t>other</w:t>
      </w:r>
      <w:proofErr w:type="gramEnd"/>
      <w:r w:rsidRPr="00A6376E">
        <w:rPr>
          <w:rFonts w:ascii="Times New Roman" w:hAnsi="Times New Roman" w:cs="Times New Roman"/>
          <w:sz w:val="24"/>
          <w:szCs w:val="24"/>
        </w:rPr>
        <w:t xml:space="preserve"> practitioner;</w:t>
      </w:r>
    </w:p>
    <w:p w14:paraId="1AA06429"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(D) Level of sedation/anesthesia administered -- Local, Nitrous, I, II, III, IV (determined by Dental Review Panel);</w:t>
      </w:r>
    </w:p>
    <w:p w14:paraId="162F3FC8"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(E) Sedation/anesthesia administrator -- respondent, other dentist, MD, CRNA (determined by Dental Review Panel); and</w:t>
      </w:r>
    </w:p>
    <w:p w14:paraId="2DAE88B1"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(F) Whether treatment investigated by the agency was paid by Medicaid.</w:t>
      </w:r>
    </w:p>
    <w:p w14:paraId="1BBEA826"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(4) Information about investigation:</w:t>
      </w:r>
    </w:p>
    <w:p w14:paraId="7C4575F8"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(A) Allegation categories identified in preliminary investigation;</w:t>
      </w:r>
    </w:p>
    <w:p w14:paraId="0FCBA5D4" w14:textId="2BC4FC94"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lastRenderedPageBreak/>
        <w:t xml:space="preserve">    (B) Disposition of official investigation -- Dismissed by Enforcement, Dismissed by Legal -- No Violation, Dismissed by Board Vote, Closed by </w:t>
      </w:r>
      <w:r>
        <w:rPr>
          <w:rFonts w:ascii="Times New Roman" w:hAnsi="Times New Roman" w:cs="Times New Roman"/>
          <w:sz w:val="24"/>
          <w:szCs w:val="24"/>
        </w:rPr>
        <w:t>[</w:t>
      </w:r>
      <w:r w:rsidRPr="00A6376E">
        <w:rPr>
          <w:rFonts w:ascii="Times New Roman" w:hAnsi="Times New Roman" w:cs="Times New Roman"/>
          <w:strike/>
          <w:sz w:val="24"/>
          <w:szCs w:val="24"/>
        </w:rPr>
        <w:t>Administrative Citation</w:t>
      </w:r>
      <w:proofErr w:type="gramStart"/>
      <w:r w:rsidRPr="00A6376E">
        <w:rPr>
          <w:rFonts w:ascii="Times New Roman" w:hAnsi="Times New Roman" w:cs="Times New Roman"/>
          <w:strike/>
          <w:sz w:val="24"/>
          <w:szCs w:val="24"/>
        </w:rPr>
        <w:t>/</w:t>
      </w:r>
      <w:r>
        <w:rPr>
          <w:rFonts w:ascii="Times New Roman" w:hAnsi="Times New Roman" w:cs="Times New Roman"/>
          <w:sz w:val="24"/>
          <w:szCs w:val="24"/>
        </w:rPr>
        <w:t>]</w:t>
      </w:r>
      <w:r w:rsidRPr="00A6376E">
        <w:rPr>
          <w:rFonts w:ascii="Times New Roman" w:hAnsi="Times New Roman" w:cs="Times New Roman"/>
          <w:sz w:val="24"/>
          <w:szCs w:val="24"/>
        </w:rPr>
        <w:t>Remedial</w:t>
      </w:r>
      <w:proofErr w:type="gramEnd"/>
      <w:r w:rsidRPr="00A6376E">
        <w:rPr>
          <w:rFonts w:ascii="Times New Roman" w:hAnsi="Times New Roman" w:cs="Times New Roman"/>
          <w:sz w:val="24"/>
          <w:szCs w:val="24"/>
        </w:rPr>
        <w:t xml:space="preserve"> Plan/Disciplinary Action; and</w:t>
      </w:r>
    </w:p>
    <w:p w14:paraId="12A57DE0" w14:textId="35BF36FF"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(C) If disposition is public action (</w:t>
      </w:r>
      <w:r w:rsidR="004E35FE">
        <w:rPr>
          <w:rFonts w:ascii="Times New Roman" w:hAnsi="Times New Roman" w:cs="Times New Roman"/>
          <w:sz w:val="24"/>
          <w:szCs w:val="24"/>
        </w:rPr>
        <w:t>[</w:t>
      </w:r>
      <w:r w:rsidRPr="004E35FE">
        <w:rPr>
          <w:rFonts w:ascii="Times New Roman" w:hAnsi="Times New Roman" w:cs="Times New Roman"/>
          <w:strike/>
          <w:sz w:val="24"/>
          <w:szCs w:val="24"/>
        </w:rPr>
        <w:t>Administrative Citation</w:t>
      </w:r>
      <w:proofErr w:type="gramStart"/>
      <w:r w:rsidRPr="004E35FE">
        <w:rPr>
          <w:rFonts w:ascii="Times New Roman" w:hAnsi="Times New Roman" w:cs="Times New Roman"/>
          <w:strike/>
          <w:sz w:val="24"/>
          <w:szCs w:val="24"/>
        </w:rPr>
        <w:t>,</w:t>
      </w:r>
      <w:r w:rsidRPr="00A6376E">
        <w:rPr>
          <w:rFonts w:ascii="Times New Roman" w:hAnsi="Times New Roman" w:cs="Times New Roman"/>
          <w:sz w:val="24"/>
          <w:szCs w:val="24"/>
        </w:rPr>
        <w:t xml:space="preserve"> </w:t>
      </w:r>
      <w:r w:rsidR="004E35FE">
        <w:rPr>
          <w:rFonts w:ascii="Times New Roman" w:hAnsi="Times New Roman" w:cs="Times New Roman"/>
          <w:sz w:val="24"/>
          <w:szCs w:val="24"/>
        </w:rPr>
        <w:t>]</w:t>
      </w:r>
      <w:r w:rsidRPr="00A6376E">
        <w:rPr>
          <w:rFonts w:ascii="Times New Roman" w:hAnsi="Times New Roman" w:cs="Times New Roman"/>
          <w:sz w:val="24"/>
          <w:szCs w:val="24"/>
        </w:rPr>
        <w:t>Remedial</w:t>
      </w:r>
      <w:proofErr w:type="gramEnd"/>
      <w:r w:rsidRPr="00A6376E">
        <w:rPr>
          <w:rFonts w:ascii="Times New Roman" w:hAnsi="Times New Roman" w:cs="Times New Roman"/>
          <w:sz w:val="24"/>
          <w:szCs w:val="24"/>
        </w:rPr>
        <w:t xml:space="preserve"> Plan</w:t>
      </w:r>
      <w:r w:rsidR="004E35FE">
        <w:rPr>
          <w:rFonts w:ascii="Times New Roman" w:hAnsi="Times New Roman" w:cs="Times New Roman"/>
          <w:sz w:val="24"/>
          <w:szCs w:val="24"/>
        </w:rPr>
        <w:t>[</w:t>
      </w:r>
      <w:r w:rsidRPr="004E35FE">
        <w:rPr>
          <w:rFonts w:ascii="Times New Roman" w:hAnsi="Times New Roman" w:cs="Times New Roman"/>
          <w:strike/>
          <w:sz w:val="24"/>
          <w:szCs w:val="24"/>
        </w:rPr>
        <w:t>,</w:t>
      </w:r>
      <w:r w:rsidR="004E35FE">
        <w:rPr>
          <w:rFonts w:ascii="Times New Roman" w:hAnsi="Times New Roman" w:cs="Times New Roman"/>
          <w:sz w:val="24"/>
          <w:szCs w:val="24"/>
        </w:rPr>
        <w:t>]</w:t>
      </w:r>
      <w:r w:rsidRPr="00A6376E">
        <w:rPr>
          <w:rFonts w:ascii="Times New Roman" w:hAnsi="Times New Roman" w:cs="Times New Roman"/>
          <w:sz w:val="24"/>
          <w:szCs w:val="24"/>
        </w:rPr>
        <w:t xml:space="preserve"> or Disciplinary Action), the violations identified in the public action resolving the official investigation.</w:t>
      </w:r>
    </w:p>
    <w:p w14:paraId="71DAB544"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(b) In addition, the agency shall publish on its website aggregate data related to the preceding fiscal year for each type of license it issues. This aggregate data shall include, at a minimum, the following data points related to the preceding fiscal year:</w:t>
      </w:r>
    </w:p>
    <w:p w14:paraId="6E68E910"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(1) Number of licensees at the end of the fiscal year;</w:t>
      </w:r>
    </w:p>
    <w:p w14:paraId="49C1F24A"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(2) Average number of days to issue a license;</w:t>
      </w:r>
    </w:p>
    <w:p w14:paraId="3078D4E1"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(3) Total number of complaints against licensees received by the agency;</w:t>
      </w:r>
    </w:p>
    <w:p w14:paraId="268B86F8"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(4) Total number of jurisdictional complaints against licensees filed by the agency;</w:t>
      </w:r>
    </w:p>
    <w:p w14:paraId="51C599A8"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(5) The resolution of all cases resolved in the fiscal year:</w:t>
      </w:r>
    </w:p>
    <w:p w14:paraId="24A49966"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(A) </w:t>
      </w:r>
      <w:proofErr w:type="spellStart"/>
      <w:r w:rsidRPr="00A6376E">
        <w:rPr>
          <w:rFonts w:ascii="Times New Roman" w:hAnsi="Times New Roman" w:cs="Times New Roman"/>
          <w:sz w:val="24"/>
          <w:szCs w:val="24"/>
        </w:rPr>
        <w:t>Nonjurisdictional</w:t>
      </w:r>
      <w:proofErr w:type="spellEnd"/>
      <w:r w:rsidRPr="00A6376E">
        <w:rPr>
          <w:rFonts w:ascii="Times New Roman" w:hAnsi="Times New Roman" w:cs="Times New Roman"/>
          <w:sz w:val="24"/>
          <w:szCs w:val="24"/>
        </w:rPr>
        <w:t>;</w:t>
      </w:r>
    </w:p>
    <w:p w14:paraId="599DAFF3"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(B) Jurisdictional, Not Filed;</w:t>
      </w:r>
    </w:p>
    <w:p w14:paraId="1173EB93"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(C) Dismissed by Agency;</w:t>
      </w:r>
    </w:p>
    <w:p w14:paraId="27212844"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(D) Dismissed by Board Vote;</w:t>
      </w:r>
    </w:p>
    <w:p w14:paraId="3E128594" w14:textId="707EE4B5"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(E) Closed by Administrative </w:t>
      </w:r>
      <w:r w:rsidR="004E35FE" w:rsidRPr="004E35FE">
        <w:rPr>
          <w:rFonts w:ascii="Times New Roman" w:hAnsi="Times New Roman" w:cs="Times New Roman"/>
          <w:sz w:val="24"/>
          <w:szCs w:val="24"/>
          <w:u w:val="single"/>
        </w:rPr>
        <w:t>Penalty</w:t>
      </w:r>
      <w:r w:rsidR="004E35FE">
        <w:rPr>
          <w:rFonts w:ascii="Times New Roman" w:hAnsi="Times New Roman" w:cs="Times New Roman"/>
          <w:sz w:val="24"/>
          <w:szCs w:val="24"/>
        </w:rPr>
        <w:t xml:space="preserve"> [</w:t>
      </w:r>
      <w:r w:rsidRPr="004E35FE">
        <w:rPr>
          <w:rFonts w:ascii="Times New Roman" w:hAnsi="Times New Roman" w:cs="Times New Roman"/>
          <w:strike/>
          <w:sz w:val="24"/>
          <w:szCs w:val="24"/>
        </w:rPr>
        <w:t>Citation</w:t>
      </w:r>
      <w:r w:rsidR="004E35FE">
        <w:rPr>
          <w:rFonts w:ascii="Times New Roman" w:hAnsi="Times New Roman" w:cs="Times New Roman"/>
          <w:sz w:val="24"/>
          <w:szCs w:val="24"/>
        </w:rPr>
        <w:t>]</w:t>
      </w:r>
      <w:r w:rsidRPr="00A6376E">
        <w:rPr>
          <w:rFonts w:ascii="Times New Roman" w:hAnsi="Times New Roman" w:cs="Times New Roman"/>
          <w:sz w:val="24"/>
          <w:szCs w:val="24"/>
        </w:rPr>
        <w:t>;</w:t>
      </w:r>
    </w:p>
    <w:p w14:paraId="679B668A"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(F) Closed by Remedial Plan;</w:t>
      </w:r>
    </w:p>
    <w:p w14:paraId="4FB9ABED"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(G) Warning;</w:t>
      </w:r>
    </w:p>
    <w:p w14:paraId="21057D3D"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(H) Reprimand;</w:t>
      </w:r>
    </w:p>
    <w:p w14:paraId="6AA25457"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(I) Probation;</w:t>
      </w:r>
    </w:p>
    <w:p w14:paraId="708A7CDF"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(J) Suspension; and</w:t>
      </w:r>
    </w:p>
    <w:p w14:paraId="0BE56D1A"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(K) Revocation.</w:t>
      </w:r>
    </w:p>
    <w:p w14:paraId="7B973C1C"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(6) For all jurisdictional, filed complaints resolved in the fiscal year, the allegation category of the complaints, as defined in §107.104;</w:t>
      </w:r>
    </w:p>
    <w:p w14:paraId="73E9EAD1"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(7) Number of cases that at the end of the fiscal year, have been filed with the agency for longer than one year;</w:t>
      </w:r>
    </w:p>
    <w:p w14:paraId="6FE23C73" w14:textId="79CA16A1"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(8) Average administrative </w:t>
      </w:r>
      <w:r w:rsidR="004E35FE">
        <w:rPr>
          <w:rFonts w:ascii="Times New Roman" w:hAnsi="Times New Roman" w:cs="Times New Roman"/>
          <w:sz w:val="24"/>
          <w:szCs w:val="24"/>
          <w:u w:val="single"/>
        </w:rPr>
        <w:t>penalties</w:t>
      </w:r>
      <w:r w:rsidR="004E35FE" w:rsidRPr="004E35FE">
        <w:rPr>
          <w:rFonts w:ascii="Times New Roman" w:hAnsi="Times New Roman" w:cs="Times New Roman"/>
          <w:sz w:val="24"/>
          <w:szCs w:val="24"/>
        </w:rPr>
        <w:t xml:space="preserve"> [</w:t>
      </w:r>
      <w:r w:rsidRPr="004E35FE">
        <w:rPr>
          <w:rFonts w:ascii="Times New Roman" w:hAnsi="Times New Roman" w:cs="Times New Roman"/>
          <w:strike/>
          <w:sz w:val="24"/>
          <w:szCs w:val="24"/>
        </w:rPr>
        <w:t>penalty assessed</w:t>
      </w:r>
      <w:r w:rsidRPr="00A6376E">
        <w:rPr>
          <w:rFonts w:ascii="Times New Roman" w:hAnsi="Times New Roman" w:cs="Times New Roman"/>
          <w:sz w:val="24"/>
          <w:szCs w:val="24"/>
        </w:rPr>
        <w:t xml:space="preserve"> </w:t>
      </w:r>
      <w:r w:rsidRPr="004E35FE">
        <w:rPr>
          <w:rFonts w:ascii="Times New Roman" w:hAnsi="Times New Roman" w:cs="Times New Roman"/>
          <w:strike/>
          <w:sz w:val="24"/>
          <w:szCs w:val="24"/>
        </w:rPr>
        <w:t>through administrative citations</w:t>
      </w:r>
      <w:r w:rsidR="004E35FE">
        <w:rPr>
          <w:rFonts w:ascii="Times New Roman" w:hAnsi="Times New Roman" w:cs="Times New Roman"/>
          <w:sz w:val="24"/>
          <w:szCs w:val="24"/>
        </w:rPr>
        <w:t>]</w:t>
      </w:r>
      <w:r w:rsidRPr="00A6376E">
        <w:rPr>
          <w:rFonts w:ascii="Times New Roman" w:hAnsi="Times New Roman" w:cs="Times New Roman"/>
          <w:sz w:val="24"/>
          <w:szCs w:val="24"/>
        </w:rPr>
        <w:t xml:space="preserve"> issued in the fiscal year;</w:t>
      </w:r>
    </w:p>
    <w:p w14:paraId="5535F09A"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(9) Average administrative fine assessed through disciplinary actions taken in the fiscal year;</w:t>
      </w:r>
    </w:p>
    <w:p w14:paraId="115C2249"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lastRenderedPageBreak/>
        <w:t xml:space="preserve">  (10) Number of cases heard at Informal Settlement Conferences in the fiscal year;</w:t>
      </w:r>
    </w:p>
    <w:p w14:paraId="169BF1EF"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(11) Number of cases resolved following Informal Settlement Conference, without referral to SOAH, in the fiscal year;</w:t>
      </w:r>
    </w:p>
    <w:p w14:paraId="779D2621"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(12) Number of cases referred to SOAH in the fiscal year;</w:t>
      </w:r>
    </w:p>
    <w:p w14:paraId="62CCA4B1"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(13) Number of cases referred to SOAH and resolved following mediation, in the fiscal year;</w:t>
      </w:r>
    </w:p>
    <w:p w14:paraId="5FD6F8EF"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(14) Number of cases returned to the Board for disposition on a default basis following referral to SOAH;</w:t>
      </w:r>
    </w:p>
    <w:p w14:paraId="5518D279"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(15) Number of cases returned to the Board for consideration of a Proposal for Decision following a contested case hearing at SOAH;</w:t>
      </w:r>
    </w:p>
    <w:p w14:paraId="344F4A25"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(16) Number of cases resolved in the fiscal year that were appealed to District Court;</w:t>
      </w:r>
    </w:p>
    <w:p w14:paraId="60DC2D47"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(17) Average number of days to investigate a complaint from complaint received to investigation completed, for all complaints received; and</w:t>
      </w:r>
    </w:p>
    <w:p w14:paraId="79C1F3B3"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(18) Average number of days to resolve a complaint from complaint received to final order issued, for all complaints received.</w:t>
      </w:r>
    </w:p>
    <w:p w14:paraId="20AF2459"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(c) In addition, the agency shall publish on its website aggregate data related to the preceding fiscal year that addresses adverse outcomes and complaints involving anesthesia. This aggregate data shall include, at a minimum, the following data points related to the preceding fiscal year:</w:t>
      </w:r>
    </w:p>
    <w:p w14:paraId="7A1229CB"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(1) Number of jurisdictional, filed complaints involving mortality and morbidity. Morbidity is defined as life-threatening complications following a dental procedure or treatment;</w:t>
      </w:r>
    </w:p>
    <w:p w14:paraId="25DA4B2E"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(2) Total number of jurisdictional complaints against dentists related to the standard of care in anesthesia, by level of sedation/anesthesia permit held by the dentist, that were filed by the Board in the preceding fiscal year; and</w:t>
      </w:r>
    </w:p>
    <w:p w14:paraId="4282F60F"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(3) For all anesthesia-related jurisdictional, filed complaints identified in (2) above, the level of sedation/anesthesia permit held by the dentist, the anesthesia-related complication identified in the Board's investigation (if any), and the resolution of each complaint:</w:t>
      </w:r>
    </w:p>
    <w:p w14:paraId="352668D4"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(A) </w:t>
      </w:r>
      <w:proofErr w:type="spellStart"/>
      <w:r w:rsidRPr="00A6376E">
        <w:rPr>
          <w:rFonts w:ascii="Times New Roman" w:hAnsi="Times New Roman" w:cs="Times New Roman"/>
          <w:sz w:val="24"/>
          <w:szCs w:val="24"/>
        </w:rPr>
        <w:t>Nonjurisdictional</w:t>
      </w:r>
      <w:proofErr w:type="spellEnd"/>
    </w:p>
    <w:p w14:paraId="1D905C84"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(B) Jurisdictional, Not Filed;</w:t>
      </w:r>
    </w:p>
    <w:p w14:paraId="463A0314"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(C) Dismissed by Agency;</w:t>
      </w:r>
    </w:p>
    <w:p w14:paraId="3A94E8EA"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(D) Dismissed by Board Vote;</w:t>
      </w:r>
    </w:p>
    <w:p w14:paraId="7DB819E4" w14:textId="2B106E4C"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(E) Closed by Administrative</w:t>
      </w:r>
      <w:r w:rsidR="004E35FE">
        <w:rPr>
          <w:rFonts w:ascii="Times New Roman" w:hAnsi="Times New Roman" w:cs="Times New Roman"/>
          <w:sz w:val="24"/>
          <w:szCs w:val="24"/>
        </w:rPr>
        <w:t xml:space="preserve"> </w:t>
      </w:r>
      <w:r w:rsidR="004E35FE">
        <w:rPr>
          <w:rFonts w:ascii="Times New Roman" w:hAnsi="Times New Roman" w:cs="Times New Roman"/>
          <w:sz w:val="24"/>
          <w:szCs w:val="24"/>
          <w:u w:val="single"/>
        </w:rPr>
        <w:t>Penalty</w:t>
      </w:r>
      <w:r w:rsidRPr="00A6376E">
        <w:rPr>
          <w:rFonts w:ascii="Times New Roman" w:hAnsi="Times New Roman" w:cs="Times New Roman"/>
          <w:sz w:val="24"/>
          <w:szCs w:val="24"/>
        </w:rPr>
        <w:t xml:space="preserve"> </w:t>
      </w:r>
      <w:r w:rsidR="004E35FE">
        <w:rPr>
          <w:rFonts w:ascii="Times New Roman" w:hAnsi="Times New Roman" w:cs="Times New Roman"/>
          <w:sz w:val="24"/>
          <w:szCs w:val="24"/>
        </w:rPr>
        <w:t>[</w:t>
      </w:r>
      <w:r w:rsidRPr="004E35FE">
        <w:rPr>
          <w:rFonts w:ascii="Times New Roman" w:hAnsi="Times New Roman" w:cs="Times New Roman"/>
          <w:strike/>
          <w:sz w:val="24"/>
          <w:szCs w:val="24"/>
        </w:rPr>
        <w:t>Citation</w:t>
      </w:r>
      <w:r w:rsidR="004E35FE">
        <w:rPr>
          <w:rFonts w:ascii="Times New Roman" w:hAnsi="Times New Roman" w:cs="Times New Roman"/>
          <w:sz w:val="24"/>
          <w:szCs w:val="24"/>
        </w:rPr>
        <w:t>]</w:t>
      </w:r>
      <w:r w:rsidRPr="00A6376E">
        <w:rPr>
          <w:rFonts w:ascii="Times New Roman" w:hAnsi="Times New Roman" w:cs="Times New Roman"/>
          <w:sz w:val="24"/>
          <w:szCs w:val="24"/>
        </w:rPr>
        <w:t>;</w:t>
      </w:r>
    </w:p>
    <w:p w14:paraId="1AC64B92"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(F) Closed by Remedial Plan;</w:t>
      </w:r>
    </w:p>
    <w:p w14:paraId="444DF0BD"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(G) Warning;</w:t>
      </w:r>
    </w:p>
    <w:p w14:paraId="7D194E2F"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lastRenderedPageBreak/>
        <w:t xml:space="preserve">    (H) Reprimand;</w:t>
      </w:r>
    </w:p>
    <w:p w14:paraId="4ED964DF"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(I) Probation;</w:t>
      </w:r>
    </w:p>
    <w:p w14:paraId="04FFAC56" w14:textId="77777777" w:rsidR="00A6376E" w:rsidRPr="00A6376E"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(J) Suspension; or</w:t>
      </w:r>
    </w:p>
    <w:p w14:paraId="37674875" w14:textId="5F83133E" w:rsidR="00AE2A72" w:rsidRPr="00AF538A" w:rsidRDefault="00A6376E" w:rsidP="00A6376E">
      <w:pPr>
        <w:rPr>
          <w:rFonts w:ascii="Times New Roman" w:hAnsi="Times New Roman" w:cs="Times New Roman"/>
          <w:sz w:val="24"/>
          <w:szCs w:val="24"/>
        </w:rPr>
      </w:pPr>
      <w:r w:rsidRPr="00A6376E">
        <w:rPr>
          <w:rFonts w:ascii="Times New Roman" w:hAnsi="Times New Roman" w:cs="Times New Roman"/>
          <w:sz w:val="24"/>
          <w:szCs w:val="24"/>
        </w:rPr>
        <w:t xml:space="preserve">    (K) Revocation.</w:t>
      </w:r>
    </w:p>
    <w:sectPr w:rsidR="00AE2A72" w:rsidRPr="00AF5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63CAD"/>
    <w:multiLevelType w:val="hybridMultilevel"/>
    <w:tmpl w:val="989C0606"/>
    <w:lvl w:ilvl="0" w:tplc="5E264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0070B"/>
    <w:rsid w:val="00006752"/>
    <w:rsid w:val="000262A7"/>
    <w:rsid w:val="00026B91"/>
    <w:rsid w:val="000322BD"/>
    <w:rsid w:val="00033CF5"/>
    <w:rsid w:val="00044D21"/>
    <w:rsid w:val="00054B7F"/>
    <w:rsid w:val="0005764D"/>
    <w:rsid w:val="00063A73"/>
    <w:rsid w:val="00076D07"/>
    <w:rsid w:val="000A0599"/>
    <w:rsid w:val="000A1C7D"/>
    <w:rsid w:val="000A32EC"/>
    <w:rsid w:val="000A39F2"/>
    <w:rsid w:val="000C5F08"/>
    <w:rsid w:val="000E42B7"/>
    <w:rsid w:val="000E7DF5"/>
    <w:rsid w:val="000F3007"/>
    <w:rsid w:val="00152CEF"/>
    <w:rsid w:val="001566E2"/>
    <w:rsid w:val="0016410C"/>
    <w:rsid w:val="00171F70"/>
    <w:rsid w:val="001756AF"/>
    <w:rsid w:val="00186156"/>
    <w:rsid w:val="00197AF8"/>
    <w:rsid w:val="001A28C3"/>
    <w:rsid w:val="001B1402"/>
    <w:rsid w:val="001C2097"/>
    <w:rsid w:val="001C74D1"/>
    <w:rsid w:val="001D3125"/>
    <w:rsid w:val="001F01F6"/>
    <w:rsid w:val="001F1F84"/>
    <w:rsid w:val="00216CA1"/>
    <w:rsid w:val="002641FC"/>
    <w:rsid w:val="0028586D"/>
    <w:rsid w:val="00291A81"/>
    <w:rsid w:val="00292D96"/>
    <w:rsid w:val="002A7368"/>
    <w:rsid w:val="002B2D03"/>
    <w:rsid w:val="002C0441"/>
    <w:rsid w:val="002C5DD1"/>
    <w:rsid w:val="002E1F0B"/>
    <w:rsid w:val="002E3B47"/>
    <w:rsid w:val="002F2DC2"/>
    <w:rsid w:val="00306674"/>
    <w:rsid w:val="0030725D"/>
    <w:rsid w:val="00310B3D"/>
    <w:rsid w:val="003122D4"/>
    <w:rsid w:val="00313E39"/>
    <w:rsid w:val="00330211"/>
    <w:rsid w:val="00335CAF"/>
    <w:rsid w:val="00336E81"/>
    <w:rsid w:val="00343EBA"/>
    <w:rsid w:val="003574B2"/>
    <w:rsid w:val="0037047E"/>
    <w:rsid w:val="00380CE5"/>
    <w:rsid w:val="00386F51"/>
    <w:rsid w:val="003A1DC0"/>
    <w:rsid w:val="003A259D"/>
    <w:rsid w:val="003A6689"/>
    <w:rsid w:val="003A7EEA"/>
    <w:rsid w:val="003C4979"/>
    <w:rsid w:val="003C7A4C"/>
    <w:rsid w:val="003E109C"/>
    <w:rsid w:val="003E5C9D"/>
    <w:rsid w:val="003F0121"/>
    <w:rsid w:val="004111C7"/>
    <w:rsid w:val="0041347F"/>
    <w:rsid w:val="00416E66"/>
    <w:rsid w:val="004171B1"/>
    <w:rsid w:val="004254CA"/>
    <w:rsid w:val="004655DE"/>
    <w:rsid w:val="00465BBD"/>
    <w:rsid w:val="0047583E"/>
    <w:rsid w:val="00490983"/>
    <w:rsid w:val="004A0142"/>
    <w:rsid w:val="004E35FE"/>
    <w:rsid w:val="004E5C87"/>
    <w:rsid w:val="005278E7"/>
    <w:rsid w:val="00531962"/>
    <w:rsid w:val="00536B7E"/>
    <w:rsid w:val="005576F5"/>
    <w:rsid w:val="00561AD2"/>
    <w:rsid w:val="00583FD3"/>
    <w:rsid w:val="00594F2B"/>
    <w:rsid w:val="005A10A7"/>
    <w:rsid w:val="005A3911"/>
    <w:rsid w:val="005B7AB8"/>
    <w:rsid w:val="005C35A4"/>
    <w:rsid w:val="005C5920"/>
    <w:rsid w:val="005E1C28"/>
    <w:rsid w:val="005E1FAB"/>
    <w:rsid w:val="006149EB"/>
    <w:rsid w:val="00634379"/>
    <w:rsid w:val="0063536D"/>
    <w:rsid w:val="006377D8"/>
    <w:rsid w:val="0064197C"/>
    <w:rsid w:val="00643D5F"/>
    <w:rsid w:val="006700BE"/>
    <w:rsid w:val="00675328"/>
    <w:rsid w:val="00687ADA"/>
    <w:rsid w:val="00697BE7"/>
    <w:rsid w:val="006B5603"/>
    <w:rsid w:val="006C76DD"/>
    <w:rsid w:val="006D0841"/>
    <w:rsid w:val="006D2F1E"/>
    <w:rsid w:val="006D45C6"/>
    <w:rsid w:val="006E21E7"/>
    <w:rsid w:val="00704AA5"/>
    <w:rsid w:val="00727BE3"/>
    <w:rsid w:val="00741B01"/>
    <w:rsid w:val="00750185"/>
    <w:rsid w:val="00750F9D"/>
    <w:rsid w:val="00752B19"/>
    <w:rsid w:val="00762C16"/>
    <w:rsid w:val="00765F24"/>
    <w:rsid w:val="00767379"/>
    <w:rsid w:val="00771267"/>
    <w:rsid w:val="007916EA"/>
    <w:rsid w:val="007B1764"/>
    <w:rsid w:val="007B417D"/>
    <w:rsid w:val="007B4E8C"/>
    <w:rsid w:val="007C3248"/>
    <w:rsid w:val="007C5EE2"/>
    <w:rsid w:val="007C62E5"/>
    <w:rsid w:val="007D29E5"/>
    <w:rsid w:val="007D4D90"/>
    <w:rsid w:val="007D5B91"/>
    <w:rsid w:val="007D7714"/>
    <w:rsid w:val="007F0D84"/>
    <w:rsid w:val="007F1207"/>
    <w:rsid w:val="00804D11"/>
    <w:rsid w:val="008126A1"/>
    <w:rsid w:val="00833BB0"/>
    <w:rsid w:val="00836A52"/>
    <w:rsid w:val="00837590"/>
    <w:rsid w:val="00852781"/>
    <w:rsid w:val="00881B30"/>
    <w:rsid w:val="00883AE3"/>
    <w:rsid w:val="00893647"/>
    <w:rsid w:val="008A5A5E"/>
    <w:rsid w:val="008A743C"/>
    <w:rsid w:val="008B33C9"/>
    <w:rsid w:val="008B6299"/>
    <w:rsid w:val="008D01E7"/>
    <w:rsid w:val="008D6B97"/>
    <w:rsid w:val="008F1CCC"/>
    <w:rsid w:val="008F282B"/>
    <w:rsid w:val="00912B71"/>
    <w:rsid w:val="0091317E"/>
    <w:rsid w:val="00914B68"/>
    <w:rsid w:val="009247D3"/>
    <w:rsid w:val="00951A62"/>
    <w:rsid w:val="00974818"/>
    <w:rsid w:val="00991BFD"/>
    <w:rsid w:val="00992FF6"/>
    <w:rsid w:val="009A05FE"/>
    <w:rsid w:val="009B07BD"/>
    <w:rsid w:val="009B0E4E"/>
    <w:rsid w:val="009B60AA"/>
    <w:rsid w:val="009B60EA"/>
    <w:rsid w:val="009D0E77"/>
    <w:rsid w:val="009E0989"/>
    <w:rsid w:val="009E6B31"/>
    <w:rsid w:val="009F4198"/>
    <w:rsid w:val="00A0308B"/>
    <w:rsid w:val="00A07096"/>
    <w:rsid w:val="00A15CEF"/>
    <w:rsid w:val="00A21984"/>
    <w:rsid w:val="00A30FF3"/>
    <w:rsid w:val="00A37891"/>
    <w:rsid w:val="00A45E82"/>
    <w:rsid w:val="00A5420A"/>
    <w:rsid w:val="00A57ABD"/>
    <w:rsid w:val="00A6376E"/>
    <w:rsid w:val="00A722CF"/>
    <w:rsid w:val="00A85AA1"/>
    <w:rsid w:val="00A926E3"/>
    <w:rsid w:val="00A972C7"/>
    <w:rsid w:val="00AA3F0D"/>
    <w:rsid w:val="00AB67CD"/>
    <w:rsid w:val="00AC5B45"/>
    <w:rsid w:val="00AE2A72"/>
    <w:rsid w:val="00AE6C18"/>
    <w:rsid w:val="00AF538A"/>
    <w:rsid w:val="00B02EF7"/>
    <w:rsid w:val="00B1396B"/>
    <w:rsid w:val="00B230E5"/>
    <w:rsid w:val="00B708FB"/>
    <w:rsid w:val="00B70F15"/>
    <w:rsid w:val="00B84053"/>
    <w:rsid w:val="00B95EF2"/>
    <w:rsid w:val="00BB6A66"/>
    <w:rsid w:val="00BC0AF4"/>
    <w:rsid w:val="00BE544F"/>
    <w:rsid w:val="00BE59CB"/>
    <w:rsid w:val="00BE5C00"/>
    <w:rsid w:val="00C20ABF"/>
    <w:rsid w:val="00C45C88"/>
    <w:rsid w:val="00C502EE"/>
    <w:rsid w:val="00C5127F"/>
    <w:rsid w:val="00C56410"/>
    <w:rsid w:val="00C574FA"/>
    <w:rsid w:val="00C6074A"/>
    <w:rsid w:val="00C6251C"/>
    <w:rsid w:val="00C676F3"/>
    <w:rsid w:val="00C87461"/>
    <w:rsid w:val="00C87FB7"/>
    <w:rsid w:val="00C9313B"/>
    <w:rsid w:val="00C96851"/>
    <w:rsid w:val="00CA454D"/>
    <w:rsid w:val="00CB1069"/>
    <w:rsid w:val="00CD384E"/>
    <w:rsid w:val="00CE11EE"/>
    <w:rsid w:val="00CF187D"/>
    <w:rsid w:val="00CF1F70"/>
    <w:rsid w:val="00CF48B1"/>
    <w:rsid w:val="00D07113"/>
    <w:rsid w:val="00D12C28"/>
    <w:rsid w:val="00DA1A86"/>
    <w:rsid w:val="00DA7638"/>
    <w:rsid w:val="00DD0FCE"/>
    <w:rsid w:val="00DD669C"/>
    <w:rsid w:val="00DF3841"/>
    <w:rsid w:val="00E03276"/>
    <w:rsid w:val="00E15F4D"/>
    <w:rsid w:val="00E23BB6"/>
    <w:rsid w:val="00E53413"/>
    <w:rsid w:val="00E62014"/>
    <w:rsid w:val="00E6334C"/>
    <w:rsid w:val="00E77830"/>
    <w:rsid w:val="00E87E96"/>
    <w:rsid w:val="00E969E8"/>
    <w:rsid w:val="00EA263F"/>
    <w:rsid w:val="00EA35BF"/>
    <w:rsid w:val="00EC244C"/>
    <w:rsid w:val="00EE67AD"/>
    <w:rsid w:val="00EE70A1"/>
    <w:rsid w:val="00EF0CE3"/>
    <w:rsid w:val="00EF6B9F"/>
    <w:rsid w:val="00F218EB"/>
    <w:rsid w:val="00F334D9"/>
    <w:rsid w:val="00F4162B"/>
    <w:rsid w:val="00F62E83"/>
    <w:rsid w:val="00FB6673"/>
    <w:rsid w:val="00FD4EE0"/>
    <w:rsid w:val="00FE3080"/>
    <w:rsid w:val="00FE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6510"/>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BodyText">
    <w:name w:val="Body Text"/>
    <w:basedOn w:val="Normal"/>
    <w:link w:val="BodyTextChar"/>
    <w:uiPriority w:val="99"/>
    <w:unhideWhenUsed/>
    <w:rsid w:val="00336E81"/>
    <w:pPr>
      <w:spacing w:after="120"/>
    </w:pPr>
  </w:style>
  <w:style w:type="character" w:customStyle="1" w:styleId="BodyTextChar">
    <w:name w:val="Body Text Char"/>
    <w:basedOn w:val="DefaultParagraphFont"/>
    <w:link w:val="BodyText"/>
    <w:uiPriority w:val="99"/>
    <w:rsid w:val="00336E81"/>
  </w:style>
  <w:style w:type="character" w:styleId="Hyperlink">
    <w:name w:val="Hyperlink"/>
    <w:basedOn w:val="DefaultParagraphFont"/>
    <w:uiPriority w:val="99"/>
    <w:unhideWhenUsed/>
    <w:rsid w:val="00336E81"/>
    <w:rPr>
      <w:color w:val="0563C1" w:themeColor="hyperlink"/>
      <w:u w:val="single"/>
    </w:rPr>
  </w:style>
  <w:style w:type="character" w:styleId="UnresolvedMention">
    <w:name w:val="Unresolved Mention"/>
    <w:basedOn w:val="DefaultParagraphFont"/>
    <w:uiPriority w:val="99"/>
    <w:semiHidden/>
    <w:unhideWhenUsed/>
    <w:rsid w:val="00336E81"/>
    <w:rPr>
      <w:color w:val="605E5C"/>
      <w:shd w:val="clear" w:color="auto" w:fill="E1DFDD"/>
    </w:rPr>
  </w:style>
  <w:style w:type="paragraph" w:styleId="BalloonText">
    <w:name w:val="Balloon Text"/>
    <w:basedOn w:val="Normal"/>
    <w:link w:val="BalloonTextChar"/>
    <w:uiPriority w:val="99"/>
    <w:semiHidden/>
    <w:unhideWhenUsed/>
    <w:rsid w:val="005C5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920"/>
    <w:rPr>
      <w:rFonts w:ascii="Segoe UI" w:hAnsi="Segoe UI" w:cs="Segoe UI"/>
      <w:sz w:val="18"/>
      <w:szCs w:val="18"/>
    </w:rPr>
  </w:style>
  <w:style w:type="paragraph" w:styleId="CommentText">
    <w:name w:val="annotation text"/>
    <w:basedOn w:val="Normal"/>
    <w:link w:val="CommentTextChar"/>
    <w:uiPriority w:val="99"/>
    <w:unhideWhenUsed/>
    <w:rsid w:val="00E969E8"/>
    <w:pPr>
      <w:spacing w:line="240" w:lineRule="auto"/>
    </w:pPr>
    <w:rPr>
      <w:sz w:val="20"/>
      <w:szCs w:val="20"/>
    </w:rPr>
  </w:style>
  <w:style w:type="character" w:customStyle="1" w:styleId="CommentTextChar">
    <w:name w:val="Comment Text Char"/>
    <w:basedOn w:val="DefaultParagraphFont"/>
    <w:link w:val="CommentText"/>
    <w:uiPriority w:val="99"/>
    <w:rsid w:val="00E969E8"/>
    <w:rPr>
      <w:sz w:val="20"/>
      <w:szCs w:val="20"/>
    </w:rPr>
  </w:style>
  <w:style w:type="character" w:styleId="CommentReference">
    <w:name w:val="annotation reference"/>
    <w:basedOn w:val="DefaultParagraphFont"/>
    <w:uiPriority w:val="99"/>
    <w:semiHidden/>
    <w:unhideWhenUsed/>
    <w:rsid w:val="00E969E8"/>
    <w:rPr>
      <w:sz w:val="16"/>
      <w:szCs w:val="16"/>
    </w:rPr>
  </w:style>
  <w:style w:type="paragraph" w:styleId="CommentSubject">
    <w:name w:val="annotation subject"/>
    <w:basedOn w:val="CommentText"/>
    <w:next w:val="CommentText"/>
    <w:link w:val="CommentSubjectChar"/>
    <w:uiPriority w:val="99"/>
    <w:semiHidden/>
    <w:unhideWhenUsed/>
    <w:rsid w:val="00A926E3"/>
    <w:rPr>
      <w:b/>
      <w:bCs/>
    </w:rPr>
  </w:style>
  <w:style w:type="character" w:customStyle="1" w:styleId="CommentSubjectChar">
    <w:name w:val="Comment Subject Char"/>
    <w:basedOn w:val="CommentTextChar"/>
    <w:link w:val="CommentSubject"/>
    <w:uiPriority w:val="99"/>
    <w:semiHidden/>
    <w:rsid w:val="00A926E3"/>
    <w:rPr>
      <w:b/>
      <w:bCs/>
      <w:sz w:val="20"/>
      <w:szCs w:val="20"/>
    </w:rPr>
  </w:style>
  <w:style w:type="paragraph" w:customStyle="1" w:styleId="ydpda298ee3yiv8607751865msonormal">
    <w:name w:val="ydpda298ee3yiv8607751865msonormal"/>
    <w:basedOn w:val="Normal"/>
    <w:uiPriority w:val="99"/>
    <w:rsid w:val="00914B68"/>
    <w:pPr>
      <w:spacing w:before="100" w:beforeAutospacing="1" w:after="100" w:afterAutospacing="1" w:line="240" w:lineRule="auto"/>
    </w:pPr>
    <w:rPr>
      <w:rFonts w:ascii="Calibri" w:hAnsi="Calibri" w:cs="Calibri"/>
    </w:rPr>
  </w:style>
  <w:style w:type="paragraph" w:styleId="NormalWeb">
    <w:name w:val="Normal (Web)"/>
    <w:basedOn w:val="Normal"/>
    <w:uiPriority w:val="99"/>
    <w:semiHidden/>
    <w:unhideWhenUsed/>
    <w:rsid w:val="001F1F8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A1DC0"/>
    <w:pPr>
      <w:spacing w:after="0" w:line="240" w:lineRule="auto"/>
    </w:pPr>
  </w:style>
  <w:style w:type="paragraph" w:customStyle="1" w:styleId="Default">
    <w:name w:val="Default"/>
    <w:rsid w:val="00CB10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95314">
      <w:bodyDiv w:val="1"/>
      <w:marLeft w:val="0"/>
      <w:marRight w:val="0"/>
      <w:marTop w:val="0"/>
      <w:marBottom w:val="0"/>
      <w:divBdr>
        <w:top w:val="none" w:sz="0" w:space="0" w:color="auto"/>
        <w:left w:val="none" w:sz="0" w:space="0" w:color="auto"/>
        <w:bottom w:val="none" w:sz="0" w:space="0" w:color="auto"/>
        <w:right w:val="none" w:sz="0" w:space="0" w:color="auto"/>
      </w:divBdr>
    </w:div>
    <w:div w:id="107773490">
      <w:bodyDiv w:val="1"/>
      <w:marLeft w:val="0"/>
      <w:marRight w:val="0"/>
      <w:marTop w:val="0"/>
      <w:marBottom w:val="0"/>
      <w:divBdr>
        <w:top w:val="none" w:sz="0" w:space="0" w:color="auto"/>
        <w:left w:val="none" w:sz="0" w:space="0" w:color="auto"/>
        <w:bottom w:val="none" w:sz="0" w:space="0" w:color="auto"/>
        <w:right w:val="none" w:sz="0" w:space="0" w:color="auto"/>
      </w:divBdr>
    </w:div>
    <w:div w:id="161169628">
      <w:bodyDiv w:val="1"/>
      <w:marLeft w:val="0"/>
      <w:marRight w:val="0"/>
      <w:marTop w:val="0"/>
      <w:marBottom w:val="0"/>
      <w:divBdr>
        <w:top w:val="none" w:sz="0" w:space="0" w:color="auto"/>
        <w:left w:val="none" w:sz="0" w:space="0" w:color="auto"/>
        <w:bottom w:val="none" w:sz="0" w:space="0" w:color="auto"/>
        <w:right w:val="none" w:sz="0" w:space="0" w:color="auto"/>
      </w:divBdr>
    </w:div>
    <w:div w:id="215361314">
      <w:bodyDiv w:val="1"/>
      <w:marLeft w:val="0"/>
      <w:marRight w:val="0"/>
      <w:marTop w:val="0"/>
      <w:marBottom w:val="0"/>
      <w:divBdr>
        <w:top w:val="none" w:sz="0" w:space="0" w:color="auto"/>
        <w:left w:val="none" w:sz="0" w:space="0" w:color="auto"/>
        <w:bottom w:val="none" w:sz="0" w:space="0" w:color="auto"/>
        <w:right w:val="none" w:sz="0" w:space="0" w:color="auto"/>
      </w:divBdr>
    </w:div>
    <w:div w:id="222764472">
      <w:bodyDiv w:val="1"/>
      <w:marLeft w:val="0"/>
      <w:marRight w:val="0"/>
      <w:marTop w:val="0"/>
      <w:marBottom w:val="0"/>
      <w:divBdr>
        <w:top w:val="none" w:sz="0" w:space="0" w:color="auto"/>
        <w:left w:val="none" w:sz="0" w:space="0" w:color="auto"/>
        <w:bottom w:val="none" w:sz="0" w:space="0" w:color="auto"/>
        <w:right w:val="none" w:sz="0" w:space="0" w:color="auto"/>
      </w:divBdr>
    </w:div>
    <w:div w:id="265814536">
      <w:bodyDiv w:val="1"/>
      <w:marLeft w:val="0"/>
      <w:marRight w:val="0"/>
      <w:marTop w:val="0"/>
      <w:marBottom w:val="0"/>
      <w:divBdr>
        <w:top w:val="none" w:sz="0" w:space="0" w:color="auto"/>
        <w:left w:val="none" w:sz="0" w:space="0" w:color="auto"/>
        <w:bottom w:val="none" w:sz="0" w:space="0" w:color="auto"/>
        <w:right w:val="none" w:sz="0" w:space="0" w:color="auto"/>
      </w:divBdr>
    </w:div>
    <w:div w:id="328290784">
      <w:bodyDiv w:val="1"/>
      <w:marLeft w:val="0"/>
      <w:marRight w:val="0"/>
      <w:marTop w:val="0"/>
      <w:marBottom w:val="0"/>
      <w:divBdr>
        <w:top w:val="none" w:sz="0" w:space="0" w:color="auto"/>
        <w:left w:val="none" w:sz="0" w:space="0" w:color="auto"/>
        <w:bottom w:val="none" w:sz="0" w:space="0" w:color="auto"/>
        <w:right w:val="none" w:sz="0" w:space="0" w:color="auto"/>
      </w:divBdr>
    </w:div>
    <w:div w:id="436951838">
      <w:bodyDiv w:val="1"/>
      <w:marLeft w:val="0"/>
      <w:marRight w:val="0"/>
      <w:marTop w:val="0"/>
      <w:marBottom w:val="0"/>
      <w:divBdr>
        <w:top w:val="none" w:sz="0" w:space="0" w:color="auto"/>
        <w:left w:val="none" w:sz="0" w:space="0" w:color="auto"/>
        <w:bottom w:val="none" w:sz="0" w:space="0" w:color="auto"/>
        <w:right w:val="none" w:sz="0" w:space="0" w:color="auto"/>
      </w:divBdr>
    </w:div>
    <w:div w:id="454059136">
      <w:bodyDiv w:val="1"/>
      <w:marLeft w:val="0"/>
      <w:marRight w:val="0"/>
      <w:marTop w:val="0"/>
      <w:marBottom w:val="0"/>
      <w:divBdr>
        <w:top w:val="none" w:sz="0" w:space="0" w:color="auto"/>
        <w:left w:val="none" w:sz="0" w:space="0" w:color="auto"/>
        <w:bottom w:val="none" w:sz="0" w:space="0" w:color="auto"/>
        <w:right w:val="none" w:sz="0" w:space="0" w:color="auto"/>
      </w:divBdr>
      <w:divsChild>
        <w:div w:id="1199512558">
          <w:marLeft w:val="0"/>
          <w:marRight w:val="0"/>
          <w:marTop w:val="0"/>
          <w:marBottom w:val="0"/>
          <w:divBdr>
            <w:top w:val="none" w:sz="0" w:space="0" w:color="auto"/>
            <w:left w:val="none" w:sz="0" w:space="0" w:color="auto"/>
            <w:bottom w:val="none" w:sz="0" w:space="0" w:color="auto"/>
            <w:right w:val="none" w:sz="0" w:space="0" w:color="auto"/>
          </w:divBdr>
          <w:divsChild>
            <w:div w:id="18468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5196">
      <w:bodyDiv w:val="1"/>
      <w:marLeft w:val="0"/>
      <w:marRight w:val="0"/>
      <w:marTop w:val="0"/>
      <w:marBottom w:val="0"/>
      <w:divBdr>
        <w:top w:val="none" w:sz="0" w:space="0" w:color="auto"/>
        <w:left w:val="none" w:sz="0" w:space="0" w:color="auto"/>
        <w:bottom w:val="none" w:sz="0" w:space="0" w:color="auto"/>
        <w:right w:val="none" w:sz="0" w:space="0" w:color="auto"/>
      </w:divBdr>
    </w:div>
    <w:div w:id="662510293">
      <w:bodyDiv w:val="1"/>
      <w:marLeft w:val="0"/>
      <w:marRight w:val="0"/>
      <w:marTop w:val="0"/>
      <w:marBottom w:val="0"/>
      <w:divBdr>
        <w:top w:val="none" w:sz="0" w:space="0" w:color="auto"/>
        <w:left w:val="none" w:sz="0" w:space="0" w:color="auto"/>
        <w:bottom w:val="none" w:sz="0" w:space="0" w:color="auto"/>
        <w:right w:val="none" w:sz="0" w:space="0" w:color="auto"/>
      </w:divBdr>
    </w:div>
    <w:div w:id="829176277">
      <w:bodyDiv w:val="1"/>
      <w:marLeft w:val="0"/>
      <w:marRight w:val="0"/>
      <w:marTop w:val="0"/>
      <w:marBottom w:val="0"/>
      <w:divBdr>
        <w:top w:val="none" w:sz="0" w:space="0" w:color="auto"/>
        <w:left w:val="none" w:sz="0" w:space="0" w:color="auto"/>
        <w:bottom w:val="none" w:sz="0" w:space="0" w:color="auto"/>
        <w:right w:val="none" w:sz="0" w:space="0" w:color="auto"/>
      </w:divBdr>
    </w:div>
    <w:div w:id="852885818">
      <w:bodyDiv w:val="1"/>
      <w:marLeft w:val="0"/>
      <w:marRight w:val="0"/>
      <w:marTop w:val="0"/>
      <w:marBottom w:val="0"/>
      <w:divBdr>
        <w:top w:val="none" w:sz="0" w:space="0" w:color="auto"/>
        <w:left w:val="none" w:sz="0" w:space="0" w:color="auto"/>
        <w:bottom w:val="none" w:sz="0" w:space="0" w:color="auto"/>
        <w:right w:val="none" w:sz="0" w:space="0" w:color="auto"/>
      </w:divBdr>
    </w:div>
    <w:div w:id="1175337090">
      <w:bodyDiv w:val="1"/>
      <w:marLeft w:val="0"/>
      <w:marRight w:val="0"/>
      <w:marTop w:val="0"/>
      <w:marBottom w:val="0"/>
      <w:divBdr>
        <w:top w:val="none" w:sz="0" w:space="0" w:color="auto"/>
        <w:left w:val="none" w:sz="0" w:space="0" w:color="auto"/>
        <w:bottom w:val="none" w:sz="0" w:space="0" w:color="auto"/>
        <w:right w:val="none" w:sz="0" w:space="0" w:color="auto"/>
      </w:divBdr>
    </w:div>
    <w:div w:id="1215964283">
      <w:bodyDiv w:val="1"/>
      <w:marLeft w:val="0"/>
      <w:marRight w:val="0"/>
      <w:marTop w:val="0"/>
      <w:marBottom w:val="0"/>
      <w:divBdr>
        <w:top w:val="none" w:sz="0" w:space="0" w:color="auto"/>
        <w:left w:val="none" w:sz="0" w:space="0" w:color="auto"/>
        <w:bottom w:val="none" w:sz="0" w:space="0" w:color="auto"/>
        <w:right w:val="none" w:sz="0" w:space="0" w:color="auto"/>
      </w:divBdr>
    </w:div>
    <w:div w:id="1450930811">
      <w:bodyDiv w:val="1"/>
      <w:marLeft w:val="0"/>
      <w:marRight w:val="0"/>
      <w:marTop w:val="0"/>
      <w:marBottom w:val="0"/>
      <w:divBdr>
        <w:top w:val="none" w:sz="0" w:space="0" w:color="auto"/>
        <w:left w:val="none" w:sz="0" w:space="0" w:color="auto"/>
        <w:bottom w:val="none" w:sz="0" w:space="0" w:color="auto"/>
        <w:right w:val="none" w:sz="0" w:space="0" w:color="auto"/>
      </w:divBdr>
      <w:divsChild>
        <w:div w:id="555707695">
          <w:marLeft w:val="0"/>
          <w:marRight w:val="0"/>
          <w:marTop w:val="0"/>
          <w:marBottom w:val="0"/>
          <w:divBdr>
            <w:top w:val="none" w:sz="0" w:space="0" w:color="auto"/>
            <w:left w:val="none" w:sz="0" w:space="0" w:color="auto"/>
            <w:bottom w:val="none" w:sz="0" w:space="0" w:color="auto"/>
            <w:right w:val="none" w:sz="0" w:space="0" w:color="auto"/>
          </w:divBdr>
          <w:divsChild>
            <w:div w:id="586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7533">
      <w:bodyDiv w:val="1"/>
      <w:marLeft w:val="0"/>
      <w:marRight w:val="0"/>
      <w:marTop w:val="0"/>
      <w:marBottom w:val="0"/>
      <w:divBdr>
        <w:top w:val="none" w:sz="0" w:space="0" w:color="auto"/>
        <w:left w:val="none" w:sz="0" w:space="0" w:color="auto"/>
        <w:bottom w:val="none" w:sz="0" w:space="0" w:color="auto"/>
        <w:right w:val="none" w:sz="0" w:space="0" w:color="auto"/>
      </w:divBdr>
      <w:divsChild>
        <w:div w:id="1260747950">
          <w:marLeft w:val="0"/>
          <w:marRight w:val="0"/>
          <w:marTop w:val="0"/>
          <w:marBottom w:val="0"/>
          <w:divBdr>
            <w:top w:val="none" w:sz="0" w:space="0" w:color="auto"/>
            <w:left w:val="none" w:sz="0" w:space="0" w:color="auto"/>
            <w:bottom w:val="none" w:sz="0" w:space="0" w:color="auto"/>
            <w:right w:val="none" w:sz="0" w:space="0" w:color="auto"/>
          </w:divBdr>
          <w:divsChild>
            <w:div w:id="5891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08951">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 w:id="202161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3BAFE-D8B1-43EF-88B5-3F236B3D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5</Pages>
  <Words>1350</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32</cp:revision>
  <dcterms:created xsi:type="dcterms:W3CDTF">2023-10-27T17:15:00Z</dcterms:created>
  <dcterms:modified xsi:type="dcterms:W3CDTF">2024-04-25T16:36:00Z</dcterms:modified>
</cp:coreProperties>
</file>