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DF9CF2" w14:textId="74DEB683" w:rsidR="009622E9" w:rsidRPr="00AF02BF" w:rsidRDefault="002604CF" w:rsidP="009622E9">
      <w:pPr>
        <w:rPr>
          <w:rFonts w:ascii="Times New Roman" w:hAnsi="Times New Roman" w:cs="Times New Roman"/>
          <w:sz w:val="23"/>
          <w:szCs w:val="23"/>
          <w:lang w:val="es-US"/>
        </w:rPr>
      </w:pPr>
      <w:r w:rsidRPr="00AF02BF">
        <w:rPr>
          <w:rFonts w:ascii="Times New Roman" w:hAnsi="Times New Roman"/>
          <w:sz w:val="23"/>
          <w:szCs w:val="23"/>
          <w:lang w:val="es-US"/>
        </w:rPr>
        <w:t>La Junta Estatal de Odontólogos (Junta) propone esta enmienda a la regla 22 TAC §108.16, relativa a la teleodontología. La regla propuesta especifica la documentación de consentimiento informado que se requiere cuando los licenciatarios prestan servicios de odontología por teleodontología. La Junta propone esta regla de conformidad con el Proyecto de Ley de la Cámara de Representantes 1700 de la Legislatura 89</w:t>
      </w:r>
      <w:r w:rsidRPr="00AF02BF">
        <w:rPr>
          <w:rFonts w:ascii="Times New Roman" w:hAnsi="Times New Roman"/>
          <w:sz w:val="23"/>
          <w:szCs w:val="23"/>
          <w:vertAlign w:val="superscript"/>
          <w:lang w:val="es-US"/>
        </w:rPr>
        <w:t>na</w:t>
      </w:r>
      <w:r w:rsidRPr="00AF02BF">
        <w:rPr>
          <w:rFonts w:ascii="Times New Roman" w:hAnsi="Times New Roman"/>
          <w:sz w:val="23"/>
          <w:szCs w:val="23"/>
          <w:lang w:val="es-US"/>
        </w:rPr>
        <w:t xml:space="preserve"> de Texas, Sesión Ordinaria (2025) y el Capítulo 111 del Código de Ocupaciones de Texas. </w:t>
      </w:r>
    </w:p>
    <w:p w14:paraId="7AC0AD1A" w14:textId="04949FA6" w:rsidR="002604CF" w:rsidRPr="00AF02BF" w:rsidRDefault="002604CF" w:rsidP="009622E9">
      <w:pPr>
        <w:rPr>
          <w:rFonts w:ascii="Times New Roman" w:hAnsi="Times New Roman" w:cs="Times New Roman"/>
          <w:sz w:val="23"/>
          <w:szCs w:val="23"/>
          <w:lang w:val="es-US"/>
        </w:rPr>
      </w:pPr>
      <w:r w:rsidRPr="00AF02BF">
        <w:rPr>
          <w:rFonts w:ascii="Times New Roman" w:hAnsi="Times New Roman"/>
          <w:sz w:val="23"/>
          <w:szCs w:val="23"/>
          <w:lang w:val="es-US"/>
        </w:rPr>
        <w:t xml:space="preserve">NOTA FISCAL: Casey Nichols, Directora Ejecutiva, ha determinado que en el primer período de cinco años en que esté vigente la regla propuesta, la regla propuesta no tenga implicancias previsibles relativas a costos o rentas de los gobiernos estatal o local. </w:t>
      </w:r>
    </w:p>
    <w:p w14:paraId="4CBDAB64" w14:textId="77777777" w:rsidR="002604CF" w:rsidRPr="00AF02BF" w:rsidRDefault="002604CF" w:rsidP="002604CF">
      <w:pPr>
        <w:spacing w:after="0" w:line="240" w:lineRule="auto"/>
        <w:rPr>
          <w:rFonts w:ascii="Times New Roman" w:hAnsi="Times New Roman" w:cs="Times New Roman"/>
          <w:sz w:val="23"/>
          <w:szCs w:val="23"/>
          <w:lang w:val="es-US"/>
        </w:rPr>
      </w:pPr>
      <w:r w:rsidRPr="00AF02BF">
        <w:rPr>
          <w:rFonts w:ascii="Times New Roman" w:hAnsi="Times New Roman"/>
          <w:sz w:val="23"/>
          <w:szCs w:val="23"/>
          <w:lang w:val="es-US"/>
        </w:rPr>
        <w:t xml:space="preserve">NOTA PÚBLICA DE COSTOS Y BENEFICIOS: Casey Nichols también ha determina que, en el primer período de cinco años en que esté vigente la regla propuesta, el beneficio público anticipado como resultado de esta regla será la protección de la seguridad y el bienestar públicos. </w:t>
      </w:r>
    </w:p>
    <w:p w14:paraId="2364F95D" w14:textId="77777777" w:rsidR="002604CF" w:rsidRPr="00AF02BF" w:rsidRDefault="002604CF" w:rsidP="002604CF">
      <w:pPr>
        <w:spacing w:after="0" w:line="240" w:lineRule="auto"/>
        <w:rPr>
          <w:rFonts w:ascii="Times New Roman" w:hAnsi="Times New Roman" w:cs="Times New Roman"/>
          <w:sz w:val="23"/>
          <w:szCs w:val="23"/>
          <w:lang w:val="es-US"/>
        </w:rPr>
      </w:pPr>
    </w:p>
    <w:p w14:paraId="73BF3D0C" w14:textId="77777777" w:rsidR="002604CF" w:rsidRPr="00AF02BF" w:rsidRDefault="002604CF" w:rsidP="002604CF">
      <w:pPr>
        <w:spacing w:after="0" w:line="240" w:lineRule="auto"/>
        <w:rPr>
          <w:rFonts w:ascii="Times New Roman" w:hAnsi="Times New Roman" w:cs="Times New Roman"/>
          <w:sz w:val="23"/>
          <w:szCs w:val="23"/>
          <w:lang w:val="es-US"/>
        </w:rPr>
      </w:pPr>
      <w:r w:rsidRPr="00AF02BF">
        <w:rPr>
          <w:rFonts w:ascii="Times New Roman" w:hAnsi="Times New Roman"/>
          <w:sz w:val="23"/>
          <w:szCs w:val="23"/>
          <w:lang w:val="es-US"/>
        </w:rPr>
        <w:t xml:space="preserve">DECLARACIÓN DE IMPACTO SOBRE EL EMPLEO LOCAL: Casey Nichols también ha determinado que la regla propuesta no afecta las economías y el empleo locales. </w:t>
      </w:r>
    </w:p>
    <w:p w14:paraId="0A95F484" w14:textId="77777777" w:rsidR="002604CF" w:rsidRPr="00AF02BF" w:rsidRDefault="002604CF" w:rsidP="002604CF">
      <w:pPr>
        <w:spacing w:after="0" w:line="240" w:lineRule="auto"/>
        <w:rPr>
          <w:rFonts w:ascii="Times New Roman" w:hAnsi="Times New Roman" w:cs="Times New Roman"/>
          <w:sz w:val="23"/>
          <w:szCs w:val="23"/>
          <w:lang w:val="es-US"/>
        </w:rPr>
      </w:pPr>
    </w:p>
    <w:p w14:paraId="35D228DF" w14:textId="77777777" w:rsidR="002604CF" w:rsidRPr="00AF02BF" w:rsidRDefault="002604CF" w:rsidP="002604CF">
      <w:pPr>
        <w:spacing w:after="0" w:line="240" w:lineRule="auto"/>
        <w:rPr>
          <w:rFonts w:ascii="Times New Roman" w:hAnsi="Times New Roman" w:cs="Times New Roman"/>
          <w:sz w:val="23"/>
          <w:szCs w:val="23"/>
          <w:lang w:val="es-US"/>
        </w:rPr>
      </w:pPr>
      <w:r w:rsidRPr="00AF02BF">
        <w:rPr>
          <w:rFonts w:ascii="Times New Roman" w:hAnsi="Times New Roman"/>
          <w:sz w:val="23"/>
          <w:szCs w:val="23"/>
          <w:lang w:val="es-US"/>
        </w:rPr>
        <w:t xml:space="preserve">DECLARACIÓN DE IMPACTO SOBRE LAS PEQUEÑAS Y MICRO EMPRESAS Y LA COMUNIDAD RURAL: Casey Nichols ha determinado que no se requiere una declaración de impacto económico y análisis de flexibilidad normativa para pequeñas empresas, microempresas y comunidades rurales para esta regla propuesta. </w:t>
      </w:r>
    </w:p>
    <w:p w14:paraId="5A76C056" w14:textId="77777777" w:rsidR="002604CF" w:rsidRPr="00AF02BF" w:rsidRDefault="002604CF" w:rsidP="002604CF">
      <w:pPr>
        <w:spacing w:after="0" w:line="240" w:lineRule="auto"/>
        <w:rPr>
          <w:rFonts w:ascii="Times New Roman" w:hAnsi="Times New Roman" w:cs="Times New Roman"/>
          <w:sz w:val="23"/>
          <w:szCs w:val="23"/>
          <w:lang w:val="es-US"/>
        </w:rPr>
      </w:pPr>
    </w:p>
    <w:p w14:paraId="6D10C40D" w14:textId="30EB995E" w:rsidR="002604CF" w:rsidRPr="00AF02BF" w:rsidRDefault="002604CF" w:rsidP="002604CF">
      <w:pPr>
        <w:spacing w:after="0" w:line="240" w:lineRule="auto"/>
        <w:rPr>
          <w:rFonts w:ascii="Times New Roman" w:hAnsi="Times New Roman" w:cs="Times New Roman"/>
          <w:sz w:val="23"/>
          <w:szCs w:val="23"/>
          <w:lang w:val="es-US"/>
        </w:rPr>
      </w:pPr>
      <w:r w:rsidRPr="00AF02BF">
        <w:rPr>
          <w:rFonts w:ascii="Times New Roman" w:hAnsi="Times New Roman"/>
          <w:sz w:val="23"/>
          <w:szCs w:val="23"/>
          <w:lang w:val="es-US"/>
        </w:rPr>
        <w:t xml:space="preserve">DECLARACIÓN DE IMPACTO SOBRE EL CRECIMIENTO DEL GOBIERNO: La Junta ha determinado que, durante el primer período de cinco años en que esté vigente la regla, se aplicarían los siguientes efectos sobre el crecimiento gubernamental: (1) la regla propuesta no crea ni elimina un programa gubernamental; (2) la aplicación de la regla propuesta no requiere la creación o eliminación de puestos de empleados; (3) la aplicación de la regla propuesta no requiere un aumento o disminución de las apropiaciones futuras; (4) la regla propuesta no requiere un aumento de las tasas pagadas a la agencia; (5) la regla propuesta no crea un nuevo reglamento; (6) la regla propuesta amplía un reglamento existente; (7) la regla propuesta no aumenta ni disminuye el número de personas sujetas a ella; y (8) la regla propuesta no afecta positiva o negativamente a la economía del estado. </w:t>
      </w:r>
    </w:p>
    <w:p w14:paraId="7DCE5659" w14:textId="77777777" w:rsidR="00352A6B" w:rsidRPr="00AF02BF" w:rsidRDefault="00352A6B" w:rsidP="002604CF">
      <w:pPr>
        <w:spacing w:after="0" w:line="240" w:lineRule="auto"/>
        <w:rPr>
          <w:rFonts w:ascii="Times New Roman" w:hAnsi="Times New Roman" w:cs="Times New Roman"/>
          <w:sz w:val="23"/>
          <w:szCs w:val="23"/>
          <w:lang w:val="es-US"/>
        </w:rPr>
      </w:pPr>
    </w:p>
    <w:p w14:paraId="373E0D73" w14:textId="77777777" w:rsidR="002604CF" w:rsidRPr="00AF02BF" w:rsidRDefault="002604CF" w:rsidP="002604CF">
      <w:pPr>
        <w:spacing w:after="0" w:line="240" w:lineRule="auto"/>
        <w:rPr>
          <w:rFonts w:ascii="Times New Roman" w:hAnsi="Times New Roman" w:cs="Times New Roman"/>
          <w:sz w:val="23"/>
          <w:szCs w:val="23"/>
          <w:lang w:val="es-US"/>
        </w:rPr>
      </w:pPr>
      <w:r w:rsidRPr="00AF02BF">
        <w:rPr>
          <w:rFonts w:ascii="Times New Roman" w:hAnsi="Times New Roman"/>
          <w:sz w:val="23"/>
          <w:szCs w:val="23"/>
          <w:lang w:val="es-US"/>
        </w:rPr>
        <w:t xml:space="preserve">Se pueden enviar comentarios sobre la regla propuesta a Casey Nichols, Directora Ejecutiva, a 1801 Congress Avenue, Suite 8.600, Austin, Texas 78701, por fax al (512) 649-2482, o por correo electrónico a official_rules_comments@tsbde.texas.gov durante 30 días luego de la fecha de publicación de la regla propuesta en el </w:t>
      </w:r>
      <w:r w:rsidRPr="00AF02BF">
        <w:rPr>
          <w:rFonts w:ascii="Times New Roman" w:hAnsi="Times New Roman"/>
          <w:i/>
          <w:sz w:val="23"/>
          <w:szCs w:val="23"/>
          <w:lang w:val="es-US"/>
        </w:rPr>
        <w:t>Registro de Texas</w:t>
      </w:r>
      <w:r w:rsidRPr="00AF02BF">
        <w:rPr>
          <w:rFonts w:ascii="Times New Roman" w:hAnsi="Times New Roman"/>
          <w:sz w:val="23"/>
          <w:szCs w:val="23"/>
          <w:lang w:val="es-US"/>
        </w:rPr>
        <w:t xml:space="preserve">. Para que se tenga en cuenta a fines de esta creación de reglas, los comentarios deben: (1) tener sello postal o enviarse antes del último día del período de comentarios; o (2) enviarse por fax o correo electrónico antes de la medianoche del último día del período de comentarios. </w:t>
      </w:r>
    </w:p>
    <w:p w14:paraId="6296CFD0" w14:textId="77777777" w:rsidR="002604CF" w:rsidRPr="00AF02BF" w:rsidRDefault="002604CF" w:rsidP="002604CF">
      <w:pPr>
        <w:spacing w:after="0" w:line="240" w:lineRule="auto"/>
        <w:rPr>
          <w:rFonts w:ascii="Times New Roman" w:hAnsi="Times New Roman" w:cs="Times New Roman"/>
          <w:sz w:val="23"/>
          <w:szCs w:val="23"/>
          <w:lang w:val="es-US"/>
        </w:rPr>
      </w:pPr>
    </w:p>
    <w:p w14:paraId="4EAF5300" w14:textId="77777777" w:rsidR="002604CF" w:rsidRPr="00AF02BF" w:rsidRDefault="002604CF" w:rsidP="002604CF">
      <w:pPr>
        <w:rPr>
          <w:rFonts w:ascii="Times New Roman" w:hAnsi="Times New Roman" w:cs="Times New Roman"/>
          <w:sz w:val="23"/>
          <w:szCs w:val="23"/>
          <w:lang w:val="es-US"/>
        </w:rPr>
      </w:pPr>
      <w:r w:rsidRPr="00AF02BF">
        <w:rPr>
          <w:rFonts w:ascii="Times New Roman" w:hAnsi="Times New Roman"/>
          <w:sz w:val="23"/>
          <w:szCs w:val="23"/>
          <w:lang w:val="es-US"/>
        </w:rPr>
        <w:t>Esta regla se propone conforme al Artículo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w:t>
      </w:r>
    </w:p>
    <w:p w14:paraId="37100B2E" w14:textId="5599CDFD" w:rsidR="002604CF" w:rsidRPr="00AF02BF" w:rsidRDefault="00403D6C" w:rsidP="002604CF">
      <w:pPr>
        <w:spacing w:after="0" w:line="240" w:lineRule="auto"/>
        <w:rPr>
          <w:rFonts w:ascii="Times New Roman" w:hAnsi="Times New Roman" w:cs="Times New Roman"/>
          <w:sz w:val="23"/>
          <w:szCs w:val="23"/>
          <w:lang w:val="es-US"/>
        </w:rPr>
      </w:pPr>
      <w:r w:rsidRPr="00AF02BF">
        <w:rPr>
          <w:rFonts w:ascii="Times New Roman" w:hAnsi="Times New Roman"/>
          <w:sz w:val="23"/>
          <w:szCs w:val="23"/>
          <w:lang w:val="es-US"/>
        </w:rPr>
        <w:t xml:space="preserve">Esta regla propuesta implementa el Capítulo 111 del Código de Ocupaciones de Texas. </w:t>
      </w:r>
    </w:p>
    <w:p w14:paraId="7D89B7ED" w14:textId="77777777" w:rsidR="002604CF" w:rsidRPr="00AF02BF" w:rsidRDefault="002604CF" w:rsidP="002604CF">
      <w:pPr>
        <w:spacing w:after="0" w:line="240" w:lineRule="auto"/>
        <w:rPr>
          <w:rFonts w:ascii="Times New Roman" w:hAnsi="Times New Roman" w:cs="Times New Roman"/>
          <w:sz w:val="23"/>
          <w:szCs w:val="23"/>
          <w:lang w:val="es-US"/>
        </w:rPr>
      </w:pPr>
    </w:p>
    <w:p w14:paraId="27620599" w14:textId="77777777" w:rsidR="002604CF" w:rsidRPr="00AF02BF" w:rsidRDefault="002604CF" w:rsidP="002604CF">
      <w:pPr>
        <w:spacing w:after="0" w:line="240" w:lineRule="auto"/>
        <w:rPr>
          <w:rFonts w:ascii="Times New Roman" w:hAnsi="Times New Roman" w:cs="Times New Roman"/>
          <w:sz w:val="23"/>
          <w:szCs w:val="23"/>
          <w:lang w:val="es-US"/>
        </w:rPr>
      </w:pPr>
      <w:r w:rsidRPr="00AF02BF">
        <w:rPr>
          <w:rFonts w:ascii="Times New Roman" w:hAnsi="Times New Roman"/>
          <w:sz w:val="23"/>
          <w:szCs w:val="23"/>
          <w:lang w:val="es-US"/>
        </w:rPr>
        <w:lastRenderedPageBreak/>
        <w:t xml:space="preserve">Los asesores legales de la Junta han revisado la regla propuesta y determinado que su adopción se encuentra dentro de la autoridad de la Junta. </w:t>
      </w:r>
    </w:p>
    <w:p w14:paraId="767D73DA" w14:textId="77777777" w:rsidR="002604CF" w:rsidRPr="00AF02BF" w:rsidRDefault="002604CF" w:rsidP="002604CF">
      <w:pPr>
        <w:spacing w:after="0" w:line="240" w:lineRule="auto"/>
        <w:rPr>
          <w:rFonts w:ascii="Times New Roman" w:hAnsi="Times New Roman" w:cs="Times New Roman"/>
          <w:sz w:val="23"/>
          <w:szCs w:val="23"/>
          <w:lang w:val="es-US"/>
        </w:rPr>
      </w:pPr>
    </w:p>
    <w:p w14:paraId="45D27804" w14:textId="77777777" w:rsidR="002604CF" w:rsidRPr="00AF02BF" w:rsidRDefault="002604CF" w:rsidP="002604CF">
      <w:pPr>
        <w:spacing w:after="0" w:line="240" w:lineRule="auto"/>
        <w:rPr>
          <w:rFonts w:ascii="Times New Roman" w:eastAsia="Times New Roman" w:hAnsi="Times New Roman" w:cs="Times New Roman"/>
          <w:sz w:val="23"/>
          <w:szCs w:val="23"/>
          <w:lang w:val="es-US"/>
        </w:rPr>
      </w:pPr>
      <w:r w:rsidRPr="00AF02BF">
        <w:rPr>
          <w:rFonts w:ascii="Times New Roman" w:hAnsi="Times New Roman"/>
          <w:sz w:val="23"/>
          <w:szCs w:val="23"/>
          <w:lang w:val="es-US"/>
        </w:rPr>
        <w:t>&lt;regla&gt;</w:t>
      </w:r>
    </w:p>
    <w:p w14:paraId="035143E8" w14:textId="77777777" w:rsidR="00171F70" w:rsidRPr="00AF02BF" w:rsidRDefault="00171F70" w:rsidP="00465BBD">
      <w:pPr>
        <w:spacing w:after="0" w:line="240" w:lineRule="auto"/>
        <w:rPr>
          <w:rFonts w:ascii="Times New Roman" w:eastAsia="Times New Roman" w:hAnsi="Times New Roman" w:cs="Times New Roman"/>
          <w:sz w:val="23"/>
          <w:szCs w:val="23"/>
          <w:lang w:val="es-US"/>
        </w:rPr>
      </w:pPr>
    </w:p>
    <w:p w14:paraId="62D6448B" w14:textId="7C590979" w:rsidR="00C96851" w:rsidRPr="00AF02BF" w:rsidRDefault="00465BBD" w:rsidP="00465BBD">
      <w:pPr>
        <w:spacing w:after="0" w:line="240" w:lineRule="auto"/>
        <w:rPr>
          <w:rFonts w:ascii="Times New Roman" w:eastAsia="Times New Roman" w:hAnsi="Times New Roman" w:cs="Times New Roman"/>
          <w:sz w:val="23"/>
          <w:szCs w:val="23"/>
          <w:lang w:val="es-US"/>
        </w:rPr>
      </w:pPr>
      <w:r w:rsidRPr="00AF02BF">
        <w:rPr>
          <w:rFonts w:ascii="Times New Roman" w:hAnsi="Times New Roman"/>
          <w:sz w:val="23"/>
          <w:szCs w:val="23"/>
          <w:lang w:val="es-US"/>
        </w:rPr>
        <w:t>§108.16. Teleodontología.</w:t>
      </w:r>
    </w:p>
    <w:p w14:paraId="73B04CEF" w14:textId="77777777" w:rsidR="0052741D" w:rsidRPr="00AF02BF" w:rsidRDefault="0052741D" w:rsidP="00465BBD">
      <w:pPr>
        <w:spacing w:after="0" w:line="240" w:lineRule="auto"/>
        <w:rPr>
          <w:rFonts w:ascii="Times New Roman" w:eastAsia="Times New Roman" w:hAnsi="Times New Roman" w:cs="Times New Roman"/>
          <w:sz w:val="23"/>
          <w:szCs w:val="23"/>
          <w:lang w:val="es-US"/>
        </w:rPr>
      </w:pPr>
    </w:p>
    <w:p w14:paraId="1855072B" w14:textId="7ECD5732"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(a) Objeto. De conformidad con el Capítulo 111 del Código de Ocupaciones de Texas y el Artículo 254.001(a) del Código de Ocupaciones de Texas, la Junta está autorizada a adoptar reglas relacionadas con la práctica de odontología, incluidos servicios odontológicos por teleodontología. Esta sección establece los estándares de práctica de teleodontología.</w:t>
      </w:r>
    </w:p>
    <w:p w14:paraId="635C3626" w14:textId="26971D44"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(b) Definición. “Servicio odontológico por teleodontología” se define en el artículo 111.001(2-a) del Código de Ocupaciones de Texas.</w:t>
      </w:r>
    </w:p>
    <w:p w14:paraId="13D0E4B8" w14:textId="0E4A762C"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(c) Prevención de fraude y abuso. Los odontólogos que utilicen servicios odontológicos por teleodontología deben adoptar protocolos para prevenir el fraude y el abuso mediante el uso de servicios odontológicos por teleodontología.</w:t>
      </w:r>
    </w:p>
    <w:p w14:paraId="5710C67A" w14:textId="59A43FDD"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(d) Quejas ante la Junta. Los dentistas que utilicen servicios odontológicos por teleodontología deben brindar notificación sobre la manera en que los pacientes pueden presentar una queja ante la Junta. El contenido y método de la notificación debe contener la misma información indicada en el artículo 108.3(a)(2)-(3) de este título (relativo a la Información de Consumidores).</w:t>
      </w:r>
    </w:p>
    <w:p w14:paraId="0DDBBA28" w14:textId="0D32DEE0"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(e) Práctica de teleodontología.</w:t>
      </w:r>
    </w:p>
    <w:p w14:paraId="153DA7DF" w14:textId="739CE5D4"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(1) Un odontólogo, higienista dental o asistente odontológico que preste servicios de teleodontología a un paciente en Texas debe tener una licencia de Texas activa o un registro emitido por la Junta.</w:t>
      </w:r>
    </w:p>
    <w:p w14:paraId="1CFF1DFC" w14:textId="6529E788"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(2) Un profesional de salud dental que brinde un servicio de atención de salud dental o procedimiento como servicio odontológico por teleodontología:</w:t>
      </w:r>
    </w:p>
    <w:p w14:paraId="390BC021" w14:textId="13A42D71"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(A) está sujeto al mismo estándar de atención que se aplicaría a la prestación del mismo servicio se atención de salud dental o procedimiento en un entorno presencial, como se establece en el artículo 108.7 de este título (relativo al Estándar de Atención Mínimo, General);</w:t>
      </w:r>
    </w:p>
    <w:p w14:paraId="4AF5F5BE" w14:textId="1C700425"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(B) debe establecer una relación entre el profesional y el paciente; y</w:t>
      </w:r>
    </w:p>
    <w:p w14:paraId="58EAA4FB" w14:textId="105BCCD8"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(C) debe mantener registros odontológicos completos y correctos como se estipula en el artículo 108.8 de este título (relativo a Registros del Odontólogo).</w:t>
      </w:r>
    </w:p>
    <w:p w14:paraId="61AF1319" w14:textId="2CCE464C"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(3) Un odontólogo puede delegar y supervisar de manera simultánea, a través de un servicio odontológico por teleodontología, no más de cinco profesionales de salud que no sean dentistas.</w:t>
      </w:r>
    </w:p>
    <w:p w14:paraId="0C49389A" w14:textId="006BA48F"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(4) Se deben implementar medidas adecuadas para garantizar que las comunicaciones, grabaciones y registros de pacientes se protejan de manera consistente con las leyes de privacidad federales y estatales.</w:t>
      </w:r>
    </w:p>
    <w:p w14:paraId="425025D9" w14:textId="3C94B859"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(5) Cualquier persona puede proporcionar cualquier fotografía o imagen digital a un dentista licenciado de Texas o higienista dental licenciado de Texas con el propósito exclusivo y limitado de realizar una evaluación o un examen.</w:t>
      </w:r>
    </w:p>
    <w:p w14:paraId="0B89658B" w14:textId="3071033A"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lastRenderedPageBreak/>
        <w:t>(f) Consentimiento informado. Además de los requisitos de consentimiento informado en el artículo 108.7 de este título y 108.8 de este título, el consentimiento informado debe incluir lo siguiente:</w:t>
      </w:r>
    </w:p>
    <w:p w14:paraId="494BC098" w14:textId="72C660D8"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 xml:space="preserve">(1) el nombre del odontólogo que realiza la delegación, su número de licencia de Texas, credenciales, calificaciones, información de contacto y ubicación del consultorio involucrados en la atención del paciente. Además, el nombre, número de licencia de Texas, credenciales y calificaciones de todos los higienistas dentales y asistentes odontológicos involucrados en la atención del paciente. Esta información se debe exhibir públicamente y proporcionar por escrito al paciente; </w:t>
      </w:r>
    </w:p>
    <w:p w14:paraId="7C313652" w14:textId="6D275CA9"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(2) un dentista que delegue un servicio odontológico por teleodontología debe asegurarse de que el consentimiento informado del paciente incluya una divulgación al paciente de que el odontólogo delegó el servicio; y</w:t>
      </w:r>
    </w:p>
    <w:p w14:paraId="76540627" w14:textId="798CB0D2" w:rsidR="00945870" w:rsidRPr="00AF02BF" w:rsidRDefault="00945870" w:rsidP="00FB1345">
      <w:pPr>
        <w:spacing w:after="0" w:line="240" w:lineRule="auto"/>
        <w:jc w:val="both"/>
        <w:rPr>
          <w:rFonts w:ascii="Times New Roman" w:hAnsi="Times New Roman" w:cs="Times New Roman"/>
          <w:sz w:val="23"/>
          <w:szCs w:val="23"/>
          <w:lang w:val="es-US"/>
        </w:rPr>
      </w:pPr>
      <w:r w:rsidRPr="00AF02BF">
        <w:rPr>
          <w:rFonts w:ascii="Times New Roman" w:hAnsi="Times New Roman"/>
          <w:sz w:val="23"/>
          <w:szCs w:val="23"/>
          <w:lang w:val="es-US"/>
        </w:rPr>
        <w:t>(3) un licenciatario debe, en la medida de lo posible:</w:t>
      </w:r>
    </w:p>
    <w:p w14:paraId="66A5C215" w14:textId="77777777" w:rsidR="00D9062B" w:rsidRPr="00AF02BF" w:rsidRDefault="00D9062B" w:rsidP="00FB1345">
      <w:pPr>
        <w:spacing w:after="0" w:line="240" w:lineRule="auto"/>
        <w:jc w:val="both"/>
        <w:rPr>
          <w:rFonts w:ascii="Times New Roman" w:hAnsi="Times New Roman" w:cs="Times New Roman"/>
          <w:sz w:val="23"/>
          <w:szCs w:val="23"/>
          <w:lang w:val="es-US"/>
        </w:rPr>
      </w:pPr>
    </w:p>
    <w:p w14:paraId="457D0E62" w14:textId="00A7B176" w:rsidR="00D9062B" w:rsidRPr="00AF02BF" w:rsidRDefault="00D9062B" w:rsidP="00FB1345">
      <w:pPr>
        <w:spacing w:after="0" w:line="240" w:lineRule="auto"/>
        <w:jc w:val="both"/>
        <w:rPr>
          <w:rFonts w:ascii="Times New Roman" w:hAnsi="Times New Roman" w:cs="Times New Roman"/>
          <w:sz w:val="23"/>
          <w:szCs w:val="23"/>
          <w:lang w:val="es-US"/>
        </w:rPr>
      </w:pPr>
      <w:r w:rsidRPr="00AF02BF">
        <w:rPr>
          <w:rFonts w:ascii="Times New Roman" w:hAnsi="Times New Roman"/>
          <w:sz w:val="23"/>
          <w:szCs w:val="23"/>
          <w:lang w:val="es-US"/>
        </w:rPr>
        <w:t>(A) confirmar la identidad del paciente;</w:t>
      </w:r>
    </w:p>
    <w:p w14:paraId="0858490D" w14:textId="77777777" w:rsidR="00D9062B" w:rsidRPr="00AF02BF" w:rsidRDefault="00D9062B" w:rsidP="00FB1345">
      <w:pPr>
        <w:spacing w:after="0" w:line="240" w:lineRule="auto"/>
        <w:jc w:val="both"/>
        <w:rPr>
          <w:rFonts w:ascii="Times New Roman" w:hAnsi="Times New Roman" w:cs="Times New Roman"/>
          <w:sz w:val="23"/>
          <w:szCs w:val="23"/>
          <w:lang w:val="es-US"/>
        </w:rPr>
      </w:pPr>
    </w:p>
    <w:p w14:paraId="57C2BF6D" w14:textId="3DF72CC6" w:rsidR="00D9062B" w:rsidRPr="00AF02BF" w:rsidRDefault="00D9062B" w:rsidP="00FB1345">
      <w:pPr>
        <w:spacing w:after="0" w:line="240" w:lineRule="auto"/>
        <w:jc w:val="both"/>
        <w:rPr>
          <w:rFonts w:ascii="Times New Roman" w:hAnsi="Times New Roman" w:cs="Times New Roman"/>
          <w:sz w:val="23"/>
          <w:szCs w:val="23"/>
          <w:lang w:val="es-US"/>
        </w:rPr>
      </w:pPr>
      <w:r w:rsidRPr="00AF02BF">
        <w:rPr>
          <w:rFonts w:ascii="Times New Roman" w:hAnsi="Times New Roman"/>
          <w:sz w:val="23"/>
          <w:szCs w:val="23"/>
          <w:lang w:val="es-US"/>
        </w:rPr>
        <w:t>(B) verificar y autenticar los antecedentes de salud del paciente;</w:t>
      </w:r>
    </w:p>
    <w:p w14:paraId="4E7D8023" w14:textId="77777777" w:rsidR="00D9062B" w:rsidRPr="00AF02BF" w:rsidRDefault="00D9062B" w:rsidP="00FB1345">
      <w:pPr>
        <w:spacing w:after="0" w:line="240" w:lineRule="auto"/>
        <w:jc w:val="both"/>
        <w:rPr>
          <w:rFonts w:ascii="Times New Roman" w:hAnsi="Times New Roman" w:cs="Times New Roman"/>
          <w:sz w:val="23"/>
          <w:szCs w:val="23"/>
          <w:lang w:val="es-US"/>
        </w:rPr>
      </w:pPr>
    </w:p>
    <w:p w14:paraId="3693E473" w14:textId="79B71B85" w:rsidR="00D9062B" w:rsidRPr="00AF02BF" w:rsidRDefault="00D9062B" w:rsidP="00FB1345">
      <w:pPr>
        <w:spacing w:after="0" w:line="240" w:lineRule="auto"/>
        <w:jc w:val="both"/>
        <w:rPr>
          <w:rFonts w:ascii="Times New Roman" w:hAnsi="Times New Roman" w:cs="Times New Roman"/>
          <w:sz w:val="23"/>
          <w:szCs w:val="23"/>
          <w:lang w:val="es-US"/>
        </w:rPr>
      </w:pPr>
      <w:r w:rsidRPr="00AF02BF">
        <w:rPr>
          <w:rFonts w:ascii="Times New Roman" w:hAnsi="Times New Roman"/>
          <w:sz w:val="23"/>
          <w:szCs w:val="23"/>
          <w:lang w:val="es-US"/>
        </w:rPr>
        <w:t>(C) obtener consentimiento informado del paciente luego de realizadas divulgaciones sobre los modelos de prestación y métodos de tratamiento y limitaciones, de manera que incluyan cualquier consentimiento informado especial relativo al uso de servicios odontológicos por teleodontología; Como mínimo, el consentimiento informado debe informar al paciente y documentar el reconocimiento del riesgo y las limitaciones de:</w:t>
      </w:r>
    </w:p>
    <w:p w14:paraId="210D13FC" w14:textId="77777777" w:rsidR="00D9062B" w:rsidRPr="00AF02BF" w:rsidRDefault="00D9062B" w:rsidP="00FB1345">
      <w:pPr>
        <w:spacing w:after="0" w:line="240" w:lineRule="auto"/>
        <w:jc w:val="both"/>
        <w:rPr>
          <w:rFonts w:ascii="Times New Roman" w:hAnsi="Times New Roman" w:cs="Times New Roman"/>
          <w:sz w:val="23"/>
          <w:szCs w:val="23"/>
          <w:lang w:val="es-US"/>
        </w:rPr>
      </w:pPr>
    </w:p>
    <w:p w14:paraId="648D1210" w14:textId="63A4FAD6" w:rsidR="00D9062B" w:rsidRPr="00AF02BF" w:rsidRDefault="00D9062B" w:rsidP="00FB1345">
      <w:pPr>
        <w:pStyle w:val="ListParagraph"/>
        <w:numPr>
          <w:ilvl w:val="0"/>
          <w:numId w:val="4"/>
        </w:numPr>
        <w:spacing w:after="0" w:line="240" w:lineRule="auto"/>
        <w:jc w:val="both"/>
        <w:rPr>
          <w:rFonts w:ascii="Times New Roman" w:hAnsi="Times New Roman" w:cs="Times New Roman"/>
          <w:sz w:val="23"/>
          <w:szCs w:val="23"/>
          <w:lang w:val="es-US"/>
        </w:rPr>
      </w:pPr>
      <w:r w:rsidRPr="00AF02BF">
        <w:rPr>
          <w:rFonts w:ascii="Times New Roman" w:hAnsi="Times New Roman"/>
          <w:sz w:val="23"/>
          <w:szCs w:val="23"/>
          <w:lang w:val="es-US"/>
        </w:rPr>
        <w:t>el uso de comunicaciones electrónicas y digitales en la prestación de atención;</w:t>
      </w:r>
    </w:p>
    <w:p w14:paraId="2B926AC9" w14:textId="77777777" w:rsidR="00D9062B" w:rsidRPr="00AF02BF" w:rsidRDefault="00D9062B" w:rsidP="00FB1345">
      <w:pPr>
        <w:pStyle w:val="ListParagraph"/>
        <w:spacing w:after="0" w:line="240" w:lineRule="auto"/>
        <w:jc w:val="both"/>
        <w:rPr>
          <w:rFonts w:ascii="Times New Roman" w:hAnsi="Times New Roman" w:cs="Times New Roman"/>
          <w:sz w:val="23"/>
          <w:szCs w:val="23"/>
          <w:lang w:val="es-US"/>
        </w:rPr>
      </w:pPr>
    </w:p>
    <w:p w14:paraId="239EB467" w14:textId="10E44601" w:rsidR="00D9062B" w:rsidRPr="00AF02BF" w:rsidRDefault="00D9062B" w:rsidP="00FB1345">
      <w:pPr>
        <w:pStyle w:val="ListParagraph"/>
        <w:numPr>
          <w:ilvl w:val="0"/>
          <w:numId w:val="4"/>
        </w:numPr>
        <w:spacing w:after="0" w:line="240" w:lineRule="auto"/>
        <w:jc w:val="both"/>
        <w:rPr>
          <w:rFonts w:ascii="Times New Roman" w:hAnsi="Times New Roman" w:cs="Times New Roman"/>
          <w:sz w:val="23"/>
          <w:szCs w:val="23"/>
          <w:lang w:val="es-US"/>
        </w:rPr>
      </w:pPr>
      <w:r w:rsidRPr="00AF02BF">
        <w:rPr>
          <w:rFonts w:ascii="Times New Roman" w:hAnsi="Times New Roman"/>
          <w:sz w:val="23"/>
          <w:szCs w:val="23"/>
          <w:lang w:val="es-US"/>
        </w:rPr>
        <w:t>el potencial de violación de la confidencialidad, o el acceso accidental, de la información de salud protegida al usar la comunicación electrónica y digital en la prestación de atención;</w:t>
      </w:r>
    </w:p>
    <w:p w14:paraId="205E467E" w14:textId="77777777" w:rsidR="00D9062B" w:rsidRPr="00AF02BF" w:rsidRDefault="00D9062B" w:rsidP="00FB1345">
      <w:pPr>
        <w:pStyle w:val="ListParagraph"/>
        <w:spacing w:after="0" w:line="240" w:lineRule="auto"/>
        <w:jc w:val="both"/>
        <w:rPr>
          <w:rFonts w:ascii="Times New Roman" w:hAnsi="Times New Roman" w:cs="Times New Roman"/>
          <w:sz w:val="23"/>
          <w:szCs w:val="23"/>
          <w:lang w:val="es-US"/>
        </w:rPr>
      </w:pPr>
    </w:p>
    <w:p w14:paraId="0C580450" w14:textId="1A7B8D31" w:rsidR="00D9062B" w:rsidRPr="00AF02BF" w:rsidRDefault="00D9062B" w:rsidP="00FB1345">
      <w:pPr>
        <w:pStyle w:val="ListParagraph"/>
        <w:numPr>
          <w:ilvl w:val="0"/>
          <w:numId w:val="4"/>
        </w:numPr>
        <w:spacing w:after="0" w:line="240" w:lineRule="auto"/>
        <w:jc w:val="both"/>
        <w:rPr>
          <w:rFonts w:ascii="Times New Roman" w:hAnsi="Times New Roman" w:cs="Times New Roman"/>
          <w:sz w:val="23"/>
          <w:szCs w:val="23"/>
          <w:lang w:val="es-US"/>
        </w:rPr>
      </w:pPr>
      <w:r w:rsidRPr="00AF02BF">
        <w:rPr>
          <w:rFonts w:ascii="Times New Roman" w:hAnsi="Times New Roman"/>
          <w:sz w:val="23"/>
          <w:szCs w:val="23"/>
          <w:lang w:val="es-US"/>
        </w:rPr>
        <w:t>la posible interrupción de las comunicaciones electrónicas y digitales en el uso de</w:t>
      </w:r>
    </w:p>
    <w:p w14:paraId="382E0E47" w14:textId="03EC7E6E" w:rsidR="00FB1345" w:rsidRPr="00AF02BF" w:rsidRDefault="00D9062B" w:rsidP="00FB1345">
      <w:pPr>
        <w:spacing w:after="0" w:line="240" w:lineRule="auto"/>
        <w:ind w:firstLine="720"/>
        <w:jc w:val="both"/>
        <w:rPr>
          <w:rFonts w:ascii="Times New Roman" w:hAnsi="Times New Roman" w:cs="Times New Roman"/>
          <w:sz w:val="23"/>
          <w:szCs w:val="23"/>
          <w:lang w:val="es-US"/>
        </w:rPr>
      </w:pPr>
      <w:r w:rsidRPr="00AF02BF">
        <w:rPr>
          <w:rFonts w:ascii="Times New Roman" w:hAnsi="Times New Roman"/>
          <w:sz w:val="23"/>
          <w:szCs w:val="23"/>
          <w:lang w:val="es-US"/>
        </w:rPr>
        <w:t>teleodontología; y</w:t>
      </w:r>
    </w:p>
    <w:p w14:paraId="22BAF391" w14:textId="77777777" w:rsidR="00FB1345" w:rsidRPr="00AF02BF" w:rsidRDefault="00FB1345" w:rsidP="00FB1345">
      <w:pPr>
        <w:spacing w:after="0" w:line="240" w:lineRule="auto"/>
        <w:ind w:firstLine="720"/>
        <w:jc w:val="both"/>
        <w:rPr>
          <w:rFonts w:ascii="Times New Roman" w:hAnsi="Times New Roman" w:cs="Times New Roman"/>
          <w:sz w:val="23"/>
          <w:szCs w:val="23"/>
          <w:lang w:val="es-US"/>
        </w:rPr>
      </w:pPr>
    </w:p>
    <w:p w14:paraId="4E4B6BA5" w14:textId="4F066C31" w:rsidR="00FB1345" w:rsidRPr="00AF02BF" w:rsidRDefault="00FB1345" w:rsidP="00FB1345">
      <w:pPr>
        <w:pStyle w:val="ListParagraph"/>
        <w:numPr>
          <w:ilvl w:val="0"/>
          <w:numId w:val="4"/>
        </w:numPr>
        <w:spacing w:after="0" w:line="240" w:lineRule="auto"/>
        <w:jc w:val="both"/>
        <w:rPr>
          <w:rFonts w:ascii="Times New Roman" w:hAnsi="Times New Roman" w:cs="Times New Roman"/>
          <w:sz w:val="23"/>
          <w:szCs w:val="23"/>
          <w:lang w:val="es-US"/>
        </w:rPr>
      </w:pPr>
      <w:r w:rsidRPr="00AF02BF">
        <w:rPr>
          <w:rFonts w:ascii="Times New Roman" w:hAnsi="Times New Roman"/>
          <w:sz w:val="23"/>
          <w:szCs w:val="23"/>
          <w:lang w:val="es-US"/>
        </w:rPr>
        <w:t>los tipos de actividades permitidas en el uso de servicios de odontología por teleodontología;</w:t>
      </w:r>
    </w:p>
    <w:p w14:paraId="6AABEB8E" w14:textId="77777777" w:rsidR="00FB1345" w:rsidRPr="00AF02BF" w:rsidRDefault="00FB1345" w:rsidP="00FB1345">
      <w:pPr>
        <w:autoSpaceDE w:val="0"/>
        <w:autoSpaceDN w:val="0"/>
        <w:adjustRightInd w:val="0"/>
        <w:spacing w:after="0" w:line="240" w:lineRule="auto"/>
        <w:jc w:val="both"/>
        <w:rPr>
          <w:rFonts w:ascii="Times New Roman" w:hAnsi="Times New Roman" w:cs="Times New Roman"/>
          <w:sz w:val="23"/>
          <w:szCs w:val="23"/>
          <w:lang w:val="es-US"/>
        </w:rPr>
      </w:pPr>
    </w:p>
    <w:p w14:paraId="58BBCE8E" w14:textId="54D37D23" w:rsidR="00FB1345" w:rsidRPr="00AF02BF" w:rsidRDefault="00FB1345" w:rsidP="00FB1345">
      <w:pPr>
        <w:autoSpaceDE w:val="0"/>
        <w:autoSpaceDN w:val="0"/>
        <w:adjustRightInd w:val="0"/>
        <w:spacing w:after="0" w:line="240" w:lineRule="auto"/>
        <w:jc w:val="both"/>
        <w:rPr>
          <w:rFonts w:ascii="Times New Roman" w:hAnsi="Times New Roman" w:cs="Times New Roman"/>
          <w:sz w:val="23"/>
          <w:szCs w:val="23"/>
          <w:lang w:val="es-US"/>
        </w:rPr>
      </w:pPr>
      <w:r w:rsidRPr="00AF02BF">
        <w:rPr>
          <w:rFonts w:ascii="Times New Roman" w:hAnsi="Times New Roman"/>
          <w:sz w:val="23"/>
          <w:szCs w:val="23"/>
          <w:lang w:val="es-US"/>
        </w:rPr>
        <w:t>(D) informar al paciente que es la exclusiva función del licenciatario determinar si la condición que se diagnostica o trata es apropiada para un encuentro por teleodontología; y</w:t>
      </w:r>
    </w:p>
    <w:p w14:paraId="777DB555" w14:textId="77777777" w:rsidR="00FB1345" w:rsidRPr="00AF02BF" w:rsidRDefault="00FB1345" w:rsidP="00FB1345">
      <w:pPr>
        <w:autoSpaceDE w:val="0"/>
        <w:autoSpaceDN w:val="0"/>
        <w:adjustRightInd w:val="0"/>
        <w:spacing w:after="0" w:line="240" w:lineRule="auto"/>
        <w:jc w:val="both"/>
        <w:rPr>
          <w:rFonts w:ascii="Times New Roman" w:hAnsi="Times New Roman" w:cs="Times New Roman"/>
          <w:sz w:val="23"/>
          <w:szCs w:val="23"/>
          <w:lang w:val="es-US"/>
        </w:rPr>
      </w:pPr>
    </w:p>
    <w:p w14:paraId="6475231E" w14:textId="5D77B7BC" w:rsidR="00FB1345" w:rsidRPr="00AF02BF" w:rsidRDefault="00FB1345" w:rsidP="00FB1345">
      <w:pPr>
        <w:autoSpaceDE w:val="0"/>
        <w:autoSpaceDN w:val="0"/>
        <w:adjustRightInd w:val="0"/>
        <w:spacing w:after="0" w:line="240" w:lineRule="auto"/>
        <w:jc w:val="both"/>
        <w:rPr>
          <w:rFonts w:ascii="Times New Roman" w:hAnsi="Times New Roman" w:cs="Times New Roman"/>
          <w:sz w:val="23"/>
          <w:szCs w:val="23"/>
          <w:lang w:val="es-US"/>
        </w:rPr>
      </w:pPr>
      <w:r w:rsidRPr="00AF02BF">
        <w:rPr>
          <w:rFonts w:ascii="Times New Roman" w:hAnsi="Times New Roman"/>
          <w:sz w:val="23"/>
          <w:szCs w:val="23"/>
          <w:lang w:val="es-US"/>
        </w:rPr>
        <w:t>(E) indicar el requisito de consentimiento explícito del paciente para el reenvío de información de identificación del paciente a un tercero.</w:t>
      </w:r>
    </w:p>
    <w:p w14:paraId="6BACAA75" w14:textId="77777777" w:rsidR="00D9062B" w:rsidRPr="00AF02BF" w:rsidRDefault="00D9062B" w:rsidP="00D9062B">
      <w:pPr>
        <w:spacing w:after="0" w:line="240" w:lineRule="auto"/>
        <w:rPr>
          <w:rFonts w:ascii="Times New Roman" w:hAnsi="Times New Roman" w:cs="Times New Roman"/>
          <w:sz w:val="23"/>
          <w:szCs w:val="23"/>
          <w:u w:val="single"/>
          <w:lang w:val="es-US"/>
        </w:rPr>
      </w:pPr>
    </w:p>
    <w:p w14:paraId="57073E04" w14:textId="71716058"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(g) Emisión de recetas.</w:t>
      </w:r>
    </w:p>
    <w:p w14:paraId="6195F4F9" w14:textId="258A174B"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(1) La validez de una receta emitida como resultado de un servicio odontológico por teleodontología está determinada por los mismo estándares que se aplicarían a la emisión del medicamento recetado en un entorno presencial.</w:t>
      </w:r>
    </w:p>
    <w:p w14:paraId="4E656BAB" w14:textId="3DAC4D85"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 xml:space="preserve">(2) Esta regla no limita el juicio profesional, el criterio ni la autoridad para tomar decisiones de un profesional licenciado. Se espera que un profesional licenciado cumpla con el estándar de atención y </w:t>
      </w:r>
      <w:r w:rsidRPr="00AF02BF">
        <w:rPr>
          <w:rFonts w:ascii="Times New Roman" w:hAnsi="Times New Roman"/>
          <w:sz w:val="23"/>
          <w:szCs w:val="23"/>
          <w:lang w:val="es-US"/>
        </w:rPr>
        <w:lastRenderedPageBreak/>
        <w:t>demuestre los estándares de juicio y práctica profesional, de manera consistente con todas las leyes y reglas aplicables, al emitir, surtir, entregar o administrar un medicamento recetado como resultado de un servicio odontológico por teleodontología.</w:t>
      </w:r>
    </w:p>
    <w:p w14:paraId="728AB279" w14:textId="1626C6C7"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(3) Una receta válida debe:</w:t>
      </w:r>
    </w:p>
    <w:p w14:paraId="3636F8A5" w14:textId="68A48380"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(A) ser emitida por un profesional para un fin odontológico legítimo como parte de la relación entre el paciente y el profesional, como se estipula en el Artículo 111.005 del Código de Ocupaciones de Texas; y</w:t>
      </w:r>
    </w:p>
    <w:p w14:paraId="3A1A86DF" w14:textId="0A55C315"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(B) cumplir con todas las demás leyes y reglas aplicables antes de recetar, surtir, entregar o administrar un fármaco peligroso o una sustancia controlada.</w:t>
      </w:r>
    </w:p>
    <w:p w14:paraId="068AAA3C" w14:textId="1729C097"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(4) Toda orden de medicamento recetado emitida como resultado de un servicio odontológico por teleodontología está sujeta a todas las normas, limitaciones y prohibiciones establecidas en la legislación federal y la Ley de Sustancias Controladas de Texas, la Ley sobre Fármacos Peligrosos de Texas y cualquier otra ley federal y estatal aplicable.</w:t>
      </w:r>
    </w:p>
    <w:p w14:paraId="015E2497" w14:textId="37CE3108"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(h) Limitación a ciertos medicamentos recetados.</w:t>
      </w:r>
    </w:p>
    <w:p w14:paraId="25021543" w14:textId="7C3BC104"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(1) En este apartado, se aplican las siguientes definiciones:</w:t>
      </w:r>
    </w:p>
    <w:p w14:paraId="16DB0B70" w14:textId="1B68B0BD"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(A) “Sustancia controlada”, “opioide” y “recetar” tienen los significados que les asigna el artículo 481.002 del Código de Salud y Seguridad de Texas.</w:t>
      </w:r>
    </w:p>
    <w:p w14:paraId="37763BF3" w14:textId="1A5106EC"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(B) “Feriado nacional” se refiere a un día descrito por el artículo 662.003(a) del Código de Gobierno de Texas.</w:t>
      </w:r>
    </w:p>
    <w:p w14:paraId="273B8E85" w14:textId="3183516B"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(2) Al recetar una sustancia controlada a un paciente como un servicio odontológico por teleodontología, un odontólogo no debe recetar más de lo necesario para suministrar a un paciente para:</w:t>
      </w:r>
    </w:p>
    <w:p w14:paraId="08361962" w14:textId="15D74CDE"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(A) si la receta es para un opioide, un período de dos días; o</w:t>
      </w:r>
    </w:p>
    <w:p w14:paraId="0FD41B3B" w14:textId="7FAC8FB3" w:rsidR="00B3790C"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(B) si la receta es para una sustancia controlada que no sea un opioide, un período de cinco días.</w:t>
      </w:r>
    </w:p>
    <w:p w14:paraId="54FFCE6B" w14:textId="572570FC" w:rsidR="00AC4132" w:rsidRPr="00AF02BF" w:rsidRDefault="00B3790C" w:rsidP="00B3790C">
      <w:pPr>
        <w:rPr>
          <w:rFonts w:ascii="Times New Roman" w:hAnsi="Times New Roman" w:cs="Times New Roman"/>
          <w:sz w:val="23"/>
          <w:szCs w:val="23"/>
          <w:lang w:val="es-US"/>
        </w:rPr>
      </w:pPr>
      <w:r w:rsidRPr="00AF02BF">
        <w:rPr>
          <w:rFonts w:ascii="Times New Roman" w:hAnsi="Times New Roman"/>
          <w:sz w:val="23"/>
          <w:szCs w:val="23"/>
          <w:lang w:val="es-US"/>
        </w:rPr>
        <w:t>(3) Para cada día en un período descrito por el párrafo (2) de este apartado que sea un sábado, domingo o feriado nacional, el período de extiende a modo de incluir el siguiente día que no sea un sábado, domingo o feriado nacional.</w:t>
      </w:r>
    </w:p>
    <w:sectPr w:rsidR="00AC4132" w:rsidRPr="00AF02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06CF8"/>
    <w:multiLevelType w:val="hybridMultilevel"/>
    <w:tmpl w:val="7A3E37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263CAD"/>
    <w:multiLevelType w:val="hybridMultilevel"/>
    <w:tmpl w:val="989C0606"/>
    <w:lvl w:ilvl="0" w:tplc="5E264F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15:restartNumberingAfterBreak="0">
    <w:nsid w:val="4AC101D0"/>
    <w:multiLevelType w:val="hybridMultilevel"/>
    <w:tmpl w:val="F8462610"/>
    <w:lvl w:ilvl="0" w:tplc="7C346C52">
      <w:start w:val="1"/>
      <w:numFmt w:val="lowerRoman"/>
      <w:lvlText w:val="%1."/>
      <w:lvlJc w:val="right"/>
      <w:pPr>
        <w:ind w:left="720" w:hanging="360"/>
      </w:pPr>
      <w:rPr>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253A13"/>
    <w:multiLevelType w:val="hybridMultilevel"/>
    <w:tmpl w:val="97808DD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3539517">
    <w:abstractNumId w:val="2"/>
  </w:num>
  <w:num w:numId="2" w16cid:durableId="1992130313">
    <w:abstractNumId w:val="5"/>
  </w:num>
  <w:num w:numId="3" w16cid:durableId="1489904691">
    <w:abstractNumId w:val="1"/>
  </w:num>
  <w:num w:numId="4" w16cid:durableId="1655640226">
    <w:abstractNumId w:val="3"/>
  </w:num>
  <w:num w:numId="5" w16cid:durableId="921379120">
    <w:abstractNumId w:val="4"/>
  </w:num>
  <w:num w:numId="6" w16cid:durableId="2250708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0070B"/>
    <w:rsid w:val="00006752"/>
    <w:rsid w:val="000262A7"/>
    <w:rsid w:val="00026B91"/>
    <w:rsid w:val="000322BD"/>
    <w:rsid w:val="00033CF5"/>
    <w:rsid w:val="00044D21"/>
    <w:rsid w:val="00054B7F"/>
    <w:rsid w:val="0005764D"/>
    <w:rsid w:val="00063A73"/>
    <w:rsid w:val="00076D07"/>
    <w:rsid w:val="000878F1"/>
    <w:rsid w:val="000A0599"/>
    <w:rsid w:val="000A1C7D"/>
    <w:rsid w:val="000A32EC"/>
    <w:rsid w:val="000A39F2"/>
    <w:rsid w:val="000B274D"/>
    <w:rsid w:val="000B5325"/>
    <w:rsid w:val="000C5F08"/>
    <w:rsid w:val="000E42B7"/>
    <w:rsid w:val="000E7DF5"/>
    <w:rsid w:val="000F3007"/>
    <w:rsid w:val="00104706"/>
    <w:rsid w:val="00113555"/>
    <w:rsid w:val="00147C5A"/>
    <w:rsid w:val="00152CEF"/>
    <w:rsid w:val="001566E2"/>
    <w:rsid w:val="0016410C"/>
    <w:rsid w:val="00170261"/>
    <w:rsid w:val="00171F70"/>
    <w:rsid w:val="001756AF"/>
    <w:rsid w:val="00186156"/>
    <w:rsid w:val="00197AF8"/>
    <w:rsid w:val="001A0A1E"/>
    <w:rsid w:val="001A28C3"/>
    <w:rsid w:val="001B1402"/>
    <w:rsid w:val="001C2097"/>
    <w:rsid w:val="001C40E8"/>
    <w:rsid w:val="001C74D1"/>
    <w:rsid w:val="001D3125"/>
    <w:rsid w:val="001F01F6"/>
    <w:rsid w:val="001F1F84"/>
    <w:rsid w:val="00200BD6"/>
    <w:rsid w:val="00202077"/>
    <w:rsid w:val="00216CA1"/>
    <w:rsid w:val="002252B0"/>
    <w:rsid w:val="00230669"/>
    <w:rsid w:val="002553FF"/>
    <w:rsid w:val="002604CF"/>
    <w:rsid w:val="002641FC"/>
    <w:rsid w:val="002648F2"/>
    <w:rsid w:val="00274417"/>
    <w:rsid w:val="0028586D"/>
    <w:rsid w:val="00291A81"/>
    <w:rsid w:val="00292D96"/>
    <w:rsid w:val="002A5516"/>
    <w:rsid w:val="002A7368"/>
    <w:rsid w:val="002B2D03"/>
    <w:rsid w:val="002B56EF"/>
    <w:rsid w:val="002C0441"/>
    <w:rsid w:val="002C5DD1"/>
    <w:rsid w:val="002E1F0B"/>
    <w:rsid w:val="002E3B47"/>
    <w:rsid w:val="002E6473"/>
    <w:rsid w:val="002F2DC2"/>
    <w:rsid w:val="00306674"/>
    <w:rsid w:val="0030725D"/>
    <w:rsid w:val="00310B3D"/>
    <w:rsid w:val="00311937"/>
    <w:rsid w:val="003122D4"/>
    <w:rsid w:val="00313E39"/>
    <w:rsid w:val="003253F2"/>
    <w:rsid w:val="00330211"/>
    <w:rsid w:val="00335CAF"/>
    <w:rsid w:val="00336E81"/>
    <w:rsid w:val="00343EBA"/>
    <w:rsid w:val="00352A6B"/>
    <w:rsid w:val="003574B2"/>
    <w:rsid w:val="0036237B"/>
    <w:rsid w:val="0037047E"/>
    <w:rsid w:val="00380CE5"/>
    <w:rsid w:val="00386F51"/>
    <w:rsid w:val="003A1DC0"/>
    <w:rsid w:val="003A259D"/>
    <w:rsid w:val="003A6689"/>
    <w:rsid w:val="003A7EEA"/>
    <w:rsid w:val="003C4979"/>
    <w:rsid w:val="003C7A4C"/>
    <w:rsid w:val="003E109C"/>
    <w:rsid w:val="003E2C59"/>
    <w:rsid w:val="003E5C9D"/>
    <w:rsid w:val="003F0121"/>
    <w:rsid w:val="00403D6C"/>
    <w:rsid w:val="004111C7"/>
    <w:rsid w:val="0041347F"/>
    <w:rsid w:val="00416E66"/>
    <w:rsid w:val="004171B1"/>
    <w:rsid w:val="004254CA"/>
    <w:rsid w:val="004454E9"/>
    <w:rsid w:val="004655DE"/>
    <w:rsid w:val="00465BBD"/>
    <w:rsid w:val="0047583E"/>
    <w:rsid w:val="00476A97"/>
    <w:rsid w:val="00490983"/>
    <w:rsid w:val="004A0142"/>
    <w:rsid w:val="004C180D"/>
    <w:rsid w:val="004E35FE"/>
    <w:rsid w:val="004E5C87"/>
    <w:rsid w:val="00523E1C"/>
    <w:rsid w:val="0052741D"/>
    <w:rsid w:val="005278E7"/>
    <w:rsid w:val="00527CEE"/>
    <w:rsid w:val="00531962"/>
    <w:rsid w:val="00531DD4"/>
    <w:rsid w:val="00536B7E"/>
    <w:rsid w:val="005576F5"/>
    <w:rsid w:val="00561AD2"/>
    <w:rsid w:val="00567836"/>
    <w:rsid w:val="00571C31"/>
    <w:rsid w:val="00576756"/>
    <w:rsid w:val="00583FD3"/>
    <w:rsid w:val="00594F2B"/>
    <w:rsid w:val="005A10A7"/>
    <w:rsid w:val="005A16AB"/>
    <w:rsid w:val="005A3911"/>
    <w:rsid w:val="005B7AB8"/>
    <w:rsid w:val="005C35A4"/>
    <w:rsid w:val="005C5920"/>
    <w:rsid w:val="005E1C28"/>
    <w:rsid w:val="005E1FAB"/>
    <w:rsid w:val="005E5973"/>
    <w:rsid w:val="005F1CE3"/>
    <w:rsid w:val="006149EB"/>
    <w:rsid w:val="006321BD"/>
    <w:rsid w:val="00634379"/>
    <w:rsid w:val="00634CFD"/>
    <w:rsid w:val="0063536D"/>
    <w:rsid w:val="00636A90"/>
    <w:rsid w:val="006377D8"/>
    <w:rsid w:val="0064197C"/>
    <w:rsid w:val="00643D5F"/>
    <w:rsid w:val="00666027"/>
    <w:rsid w:val="006700BE"/>
    <w:rsid w:val="00675328"/>
    <w:rsid w:val="00687ADA"/>
    <w:rsid w:val="00697BE7"/>
    <w:rsid w:val="006A0EEB"/>
    <w:rsid w:val="006B273B"/>
    <w:rsid w:val="006B5603"/>
    <w:rsid w:val="006C76DD"/>
    <w:rsid w:val="006D0841"/>
    <w:rsid w:val="006D2F1E"/>
    <w:rsid w:val="006D45C6"/>
    <w:rsid w:val="006E21E7"/>
    <w:rsid w:val="006E54AD"/>
    <w:rsid w:val="006F2A4C"/>
    <w:rsid w:val="00704AA5"/>
    <w:rsid w:val="00715C72"/>
    <w:rsid w:val="00725748"/>
    <w:rsid w:val="00727BE3"/>
    <w:rsid w:val="00741B01"/>
    <w:rsid w:val="00750185"/>
    <w:rsid w:val="00750F9D"/>
    <w:rsid w:val="00752B19"/>
    <w:rsid w:val="00762C16"/>
    <w:rsid w:val="00765F24"/>
    <w:rsid w:val="00767379"/>
    <w:rsid w:val="00771267"/>
    <w:rsid w:val="007916EA"/>
    <w:rsid w:val="007B1764"/>
    <w:rsid w:val="007B417D"/>
    <w:rsid w:val="007B4E8C"/>
    <w:rsid w:val="007C1BE2"/>
    <w:rsid w:val="007C3248"/>
    <w:rsid w:val="007C5EE2"/>
    <w:rsid w:val="007C62E5"/>
    <w:rsid w:val="007D29E5"/>
    <w:rsid w:val="007D4D90"/>
    <w:rsid w:val="007D5B91"/>
    <w:rsid w:val="007D7714"/>
    <w:rsid w:val="007F0D84"/>
    <w:rsid w:val="007F1207"/>
    <w:rsid w:val="007F34E2"/>
    <w:rsid w:val="00804D11"/>
    <w:rsid w:val="008126A1"/>
    <w:rsid w:val="00831E35"/>
    <w:rsid w:val="00833BB0"/>
    <w:rsid w:val="00836A52"/>
    <w:rsid w:val="00837590"/>
    <w:rsid w:val="00840F41"/>
    <w:rsid w:val="00852781"/>
    <w:rsid w:val="00881B30"/>
    <w:rsid w:val="00883AE3"/>
    <w:rsid w:val="00893647"/>
    <w:rsid w:val="008A5A5E"/>
    <w:rsid w:val="008A743C"/>
    <w:rsid w:val="008B33C9"/>
    <w:rsid w:val="008B6299"/>
    <w:rsid w:val="008D01E7"/>
    <w:rsid w:val="008D6B97"/>
    <w:rsid w:val="008F1CCC"/>
    <w:rsid w:val="008F282B"/>
    <w:rsid w:val="00912B71"/>
    <w:rsid w:val="0091317E"/>
    <w:rsid w:val="00914B68"/>
    <w:rsid w:val="009247D3"/>
    <w:rsid w:val="00945870"/>
    <w:rsid w:val="00951A62"/>
    <w:rsid w:val="009570B0"/>
    <w:rsid w:val="009622E9"/>
    <w:rsid w:val="00974818"/>
    <w:rsid w:val="00991BFD"/>
    <w:rsid w:val="00992FF6"/>
    <w:rsid w:val="009A05FE"/>
    <w:rsid w:val="009B07BD"/>
    <w:rsid w:val="009B0E4E"/>
    <w:rsid w:val="009B4063"/>
    <w:rsid w:val="009B60AA"/>
    <w:rsid w:val="009B60EA"/>
    <w:rsid w:val="009D0E77"/>
    <w:rsid w:val="009E0989"/>
    <w:rsid w:val="009E6B31"/>
    <w:rsid w:val="009F4198"/>
    <w:rsid w:val="00A0308B"/>
    <w:rsid w:val="00A07096"/>
    <w:rsid w:val="00A15C28"/>
    <w:rsid w:val="00A15CEF"/>
    <w:rsid w:val="00A21984"/>
    <w:rsid w:val="00A30FF3"/>
    <w:rsid w:val="00A37891"/>
    <w:rsid w:val="00A45E82"/>
    <w:rsid w:val="00A5420A"/>
    <w:rsid w:val="00A56300"/>
    <w:rsid w:val="00A57ABD"/>
    <w:rsid w:val="00A6376E"/>
    <w:rsid w:val="00A722CF"/>
    <w:rsid w:val="00A85AA1"/>
    <w:rsid w:val="00A926E3"/>
    <w:rsid w:val="00A972C7"/>
    <w:rsid w:val="00AA3F0D"/>
    <w:rsid w:val="00AB67CD"/>
    <w:rsid w:val="00AC4132"/>
    <w:rsid w:val="00AC5B45"/>
    <w:rsid w:val="00AE03D3"/>
    <w:rsid w:val="00AE2A72"/>
    <w:rsid w:val="00AE6C18"/>
    <w:rsid w:val="00AE7799"/>
    <w:rsid w:val="00AF02BF"/>
    <w:rsid w:val="00AF538A"/>
    <w:rsid w:val="00B02EF7"/>
    <w:rsid w:val="00B1396B"/>
    <w:rsid w:val="00B22141"/>
    <w:rsid w:val="00B230E5"/>
    <w:rsid w:val="00B330BA"/>
    <w:rsid w:val="00B357C2"/>
    <w:rsid w:val="00B3790C"/>
    <w:rsid w:val="00B64EA1"/>
    <w:rsid w:val="00B708FB"/>
    <w:rsid w:val="00B70F15"/>
    <w:rsid w:val="00B84053"/>
    <w:rsid w:val="00B95EF2"/>
    <w:rsid w:val="00BA5F83"/>
    <w:rsid w:val="00BB6A66"/>
    <w:rsid w:val="00BC0AF4"/>
    <w:rsid w:val="00BC3F78"/>
    <w:rsid w:val="00BD5C88"/>
    <w:rsid w:val="00BE4186"/>
    <w:rsid w:val="00BE544F"/>
    <w:rsid w:val="00BE59CB"/>
    <w:rsid w:val="00BE5C00"/>
    <w:rsid w:val="00C20ABF"/>
    <w:rsid w:val="00C4226C"/>
    <w:rsid w:val="00C45C88"/>
    <w:rsid w:val="00C45EAC"/>
    <w:rsid w:val="00C502EE"/>
    <w:rsid w:val="00C5127F"/>
    <w:rsid w:val="00C54CCD"/>
    <w:rsid w:val="00C56410"/>
    <w:rsid w:val="00C574FA"/>
    <w:rsid w:val="00C6074A"/>
    <w:rsid w:val="00C6251C"/>
    <w:rsid w:val="00C676F3"/>
    <w:rsid w:val="00C87461"/>
    <w:rsid w:val="00C87FB7"/>
    <w:rsid w:val="00C91729"/>
    <w:rsid w:val="00C9313B"/>
    <w:rsid w:val="00C96851"/>
    <w:rsid w:val="00CA444B"/>
    <w:rsid w:val="00CA454D"/>
    <w:rsid w:val="00CB1069"/>
    <w:rsid w:val="00CC33AC"/>
    <w:rsid w:val="00CD384E"/>
    <w:rsid w:val="00CE11EE"/>
    <w:rsid w:val="00CF187D"/>
    <w:rsid w:val="00CF1F70"/>
    <w:rsid w:val="00CF48B1"/>
    <w:rsid w:val="00D07113"/>
    <w:rsid w:val="00D12C28"/>
    <w:rsid w:val="00D17F3C"/>
    <w:rsid w:val="00D41505"/>
    <w:rsid w:val="00D449F7"/>
    <w:rsid w:val="00D9062B"/>
    <w:rsid w:val="00DA1A86"/>
    <w:rsid w:val="00DA633D"/>
    <w:rsid w:val="00DA7638"/>
    <w:rsid w:val="00DC54CE"/>
    <w:rsid w:val="00DD0FCE"/>
    <w:rsid w:val="00DD669C"/>
    <w:rsid w:val="00DF3841"/>
    <w:rsid w:val="00E03276"/>
    <w:rsid w:val="00E03A36"/>
    <w:rsid w:val="00E15F4D"/>
    <w:rsid w:val="00E23BB6"/>
    <w:rsid w:val="00E4345C"/>
    <w:rsid w:val="00E53413"/>
    <w:rsid w:val="00E62014"/>
    <w:rsid w:val="00E6334C"/>
    <w:rsid w:val="00E70743"/>
    <w:rsid w:val="00E77830"/>
    <w:rsid w:val="00E87E96"/>
    <w:rsid w:val="00E969E8"/>
    <w:rsid w:val="00EA263F"/>
    <w:rsid w:val="00EA35BF"/>
    <w:rsid w:val="00EC244C"/>
    <w:rsid w:val="00ED052D"/>
    <w:rsid w:val="00EE67AD"/>
    <w:rsid w:val="00EE70A1"/>
    <w:rsid w:val="00EF0CE3"/>
    <w:rsid w:val="00EF6B9F"/>
    <w:rsid w:val="00F06585"/>
    <w:rsid w:val="00F218EB"/>
    <w:rsid w:val="00F25CAB"/>
    <w:rsid w:val="00F334D9"/>
    <w:rsid w:val="00F4162B"/>
    <w:rsid w:val="00F62E83"/>
    <w:rsid w:val="00F9767F"/>
    <w:rsid w:val="00FA0037"/>
    <w:rsid w:val="00FB1345"/>
    <w:rsid w:val="00FB6673"/>
    <w:rsid w:val="00FC3778"/>
    <w:rsid w:val="00FD4EE0"/>
    <w:rsid w:val="00FE214F"/>
    <w:rsid w:val="00FE3080"/>
    <w:rsid w:val="00FE3749"/>
    <w:rsid w:val="00FF033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C6510"/>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5BBD"/>
    <w:pPr>
      <w:ind w:left="720"/>
      <w:contextualSpacing/>
    </w:pPr>
  </w:style>
  <w:style w:type="paragraph" w:styleId="BodyText">
    <w:name w:val="Body Text"/>
    <w:basedOn w:val="Normal"/>
    <w:link w:val="BodyTextChar"/>
    <w:uiPriority w:val="99"/>
    <w:unhideWhenUsed/>
    <w:rsid w:val="00336E81"/>
    <w:pPr>
      <w:spacing w:after="120"/>
    </w:pPr>
  </w:style>
  <w:style w:type="character" w:customStyle="1" w:styleId="BodyTextChar">
    <w:name w:val="Body Text Char"/>
    <w:basedOn w:val="DefaultParagraphFont"/>
    <w:link w:val="BodyText"/>
    <w:uiPriority w:val="99"/>
    <w:rsid w:val="00336E81"/>
  </w:style>
  <w:style w:type="character" w:styleId="Hyperlink">
    <w:name w:val="Hyperlink"/>
    <w:basedOn w:val="DefaultParagraphFont"/>
    <w:uiPriority w:val="99"/>
    <w:unhideWhenUsed/>
    <w:rsid w:val="00336E81"/>
    <w:rPr>
      <w:color w:val="0563C1" w:themeColor="hyperlink"/>
      <w:u w:val="single"/>
    </w:rPr>
  </w:style>
  <w:style w:type="character" w:styleId="UnresolvedMention">
    <w:name w:val="Unresolved Mention"/>
    <w:basedOn w:val="DefaultParagraphFont"/>
    <w:uiPriority w:val="99"/>
    <w:semiHidden/>
    <w:unhideWhenUsed/>
    <w:rsid w:val="00336E81"/>
    <w:rPr>
      <w:color w:val="605E5C"/>
      <w:shd w:val="clear" w:color="auto" w:fill="E1DFDD"/>
    </w:rPr>
  </w:style>
  <w:style w:type="paragraph" w:styleId="BalloonText">
    <w:name w:val="Balloon Text"/>
    <w:basedOn w:val="Normal"/>
    <w:link w:val="BalloonTextChar"/>
    <w:uiPriority w:val="99"/>
    <w:semiHidden/>
    <w:unhideWhenUsed/>
    <w:rsid w:val="005C59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5920"/>
    <w:rPr>
      <w:rFonts w:ascii="Segoe UI" w:hAnsi="Segoe UI" w:cs="Segoe UI"/>
      <w:sz w:val="18"/>
      <w:szCs w:val="18"/>
    </w:rPr>
  </w:style>
  <w:style w:type="paragraph" w:styleId="CommentText">
    <w:name w:val="annotation text"/>
    <w:basedOn w:val="Normal"/>
    <w:link w:val="CommentTextChar"/>
    <w:uiPriority w:val="99"/>
    <w:unhideWhenUsed/>
    <w:rsid w:val="00E969E8"/>
    <w:pPr>
      <w:spacing w:line="240" w:lineRule="auto"/>
    </w:pPr>
    <w:rPr>
      <w:sz w:val="20"/>
      <w:szCs w:val="20"/>
    </w:rPr>
  </w:style>
  <w:style w:type="character" w:customStyle="1" w:styleId="CommentTextChar">
    <w:name w:val="Comment Text Char"/>
    <w:basedOn w:val="DefaultParagraphFont"/>
    <w:link w:val="CommentText"/>
    <w:uiPriority w:val="99"/>
    <w:rsid w:val="00E969E8"/>
    <w:rPr>
      <w:sz w:val="20"/>
      <w:szCs w:val="20"/>
    </w:rPr>
  </w:style>
  <w:style w:type="character" w:styleId="CommentReference">
    <w:name w:val="annotation reference"/>
    <w:basedOn w:val="DefaultParagraphFont"/>
    <w:uiPriority w:val="99"/>
    <w:semiHidden/>
    <w:unhideWhenUsed/>
    <w:rsid w:val="00E969E8"/>
    <w:rPr>
      <w:sz w:val="16"/>
      <w:szCs w:val="16"/>
    </w:rPr>
  </w:style>
  <w:style w:type="paragraph" w:styleId="CommentSubject">
    <w:name w:val="annotation subject"/>
    <w:basedOn w:val="CommentText"/>
    <w:next w:val="CommentText"/>
    <w:link w:val="CommentSubjectChar"/>
    <w:uiPriority w:val="99"/>
    <w:semiHidden/>
    <w:unhideWhenUsed/>
    <w:rsid w:val="00A926E3"/>
    <w:rPr>
      <w:b/>
      <w:bCs/>
    </w:rPr>
  </w:style>
  <w:style w:type="character" w:customStyle="1" w:styleId="CommentSubjectChar">
    <w:name w:val="Comment Subject Char"/>
    <w:basedOn w:val="CommentTextChar"/>
    <w:link w:val="CommentSubject"/>
    <w:uiPriority w:val="99"/>
    <w:semiHidden/>
    <w:rsid w:val="00A926E3"/>
    <w:rPr>
      <w:b/>
      <w:bCs/>
      <w:sz w:val="20"/>
      <w:szCs w:val="20"/>
    </w:rPr>
  </w:style>
  <w:style w:type="paragraph" w:customStyle="1" w:styleId="ydpda298ee3yiv8607751865msonormal">
    <w:name w:val="ydpda298ee3yiv8607751865msonormal"/>
    <w:basedOn w:val="Normal"/>
    <w:uiPriority w:val="99"/>
    <w:rsid w:val="00914B68"/>
    <w:pPr>
      <w:spacing w:before="100" w:beforeAutospacing="1" w:after="100" w:afterAutospacing="1" w:line="240" w:lineRule="auto"/>
    </w:pPr>
    <w:rPr>
      <w:rFonts w:ascii="Calibri" w:hAnsi="Calibri" w:cs="Calibri"/>
    </w:rPr>
  </w:style>
  <w:style w:type="paragraph" w:styleId="NormalWeb">
    <w:name w:val="Normal (Web)"/>
    <w:basedOn w:val="Normal"/>
    <w:uiPriority w:val="99"/>
    <w:semiHidden/>
    <w:unhideWhenUsed/>
    <w:rsid w:val="001F1F84"/>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3A1DC0"/>
    <w:pPr>
      <w:spacing w:after="0" w:line="240" w:lineRule="auto"/>
    </w:pPr>
  </w:style>
  <w:style w:type="paragraph" w:customStyle="1" w:styleId="Default">
    <w:name w:val="Default"/>
    <w:rsid w:val="00CB106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195314">
      <w:bodyDiv w:val="1"/>
      <w:marLeft w:val="0"/>
      <w:marRight w:val="0"/>
      <w:marTop w:val="0"/>
      <w:marBottom w:val="0"/>
      <w:divBdr>
        <w:top w:val="none" w:sz="0" w:space="0" w:color="auto"/>
        <w:left w:val="none" w:sz="0" w:space="0" w:color="auto"/>
        <w:bottom w:val="none" w:sz="0" w:space="0" w:color="auto"/>
        <w:right w:val="none" w:sz="0" w:space="0" w:color="auto"/>
      </w:divBdr>
    </w:div>
    <w:div w:id="107773490">
      <w:bodyDiv w:val="1"/>
      <w:marLeft w:val="0"/>
      <w:marRight w:val="0"/>
      <w:marTop w:val="0"/>
      <w:marBottom w:val="0"/>
      <w:divBdr>
        <w:top w:val="none" w:sz="0" w:space="0" w:color="auto"/>
        <w:left w:val="none" w:sz="0" w:space="0" w:color="auto"/>
        <w:bottom w:val="none" w:sz="0" w:space="0" w:color="auto"/>
        <w:right w:val="none" w:sz="0" w:space="0" w:color="auto"/>
      </w:divBdr>
    </w:div>
    <w:div w:id="161169628">
      <w:bodyDiv w:val="1"/>
      <w:marLeft w:val="0"/>
      <w:marRight w:val="0"/>
      <w:marTop w:val="0"/>
      <w:marBottom w:val="0"/>
      <w:divBdr>
        <w:top w:val="none" w:sz="0" w:space="0" w:color="auto"/>
        <w:left w:val="none" w:sz="0" w:space="0" w:color="auto"/>
        <w:bottom w:val="none" w:sz="0" w:space="0" w:color="auto"/>
        <w:right w:val="none" w:sz="0" w:space="0" w:color="auto"/>
      </w:divBdr>
    </w:div>
    <w:div w:id="215361314">
      <w:bodyDiv w:val="1"/>
      <w:marLeft w:val="0"/>
      <w:marRight w:val="0"/>
      <w:marTop w:val="0"/>
      <w:marBottom w:val="0"/>
      <w:divBdr>
        <w:top w:val="none" w:sz="0" w:space="0" w:color="auto"/>
        <w:left w:val="none" w:sz="0" w:space="0" w:color="auto"/>
        <w:bottom w:val="none" w:sz="0" w:space="0" w:color="auto"/>
        <w:right w:val="none" w:sz="0" w:space="0" w:color="auto"/>
      </w:divBdr>
    </w:div>
    <w:div w:id="222764472">
      <w:bodyDiv w:val="1"/>
      <w:marLeft w:val="0"/>
      <w:marRight w:val="0"/>
      <w:marTop w:val="0"/>
      <w:marBottom w:val="0"/>
      <w:divBdr>
        <w:top w:val="none" w:sz="0" w:space="0" w:color="auto"/>
        <w:left w:val="none" w:sz="0" w:space="0" w:color="auto"/>
        <w:bottom w:val="none" w:sz="0" w:space="0" w:color="auto"/>
        <w:right w:val="none" w:sz="0" w:space="0" w:color="auto"/>
      </w:divBdr>
    </w:div>
    <w:div w:id="265814536">
      <w:bodyDiv w:val="1"/>
      <w:marLeft w:val="0"/>
      <w:marRight w:val="0"/>
      <w:marTop w:val="0"/>
      <w:marBottom w:val="0"/>
      <w:divBdr>
        <w:top w:val="none" w:sz="0" w:space="0" w:color="auto"/>
        <w:left w:val="none" w:sz="0" w:space="0" w:color="auto"/>
        <w:bottom w:val="none" w:sz="0" w:space="0" w:color="auto"/>
        <w:right w:val="none" w:sz="0" w:space="0" w:color="auto"/>
      </w:divBdr>
    </w:div>
    <w:div w:id="328290784">
      <w:bodyDiv w:val="1"/>
      <w:marLeft w:val="0"/>
      <w:marRight w:val="0"/>
      <w:marTop w:val="0"/>
      <w:marBottom w:val="0"/>
      <w:divBdr>
        <w:top w:val="none" w:sz="0" w:space="0" w:color="auto"/>
        <w:left w:val="none" w:sz="0" w:space="0" w:color="auto"/>
        <w:bottom w:val="none" w:sz="0" w:space="0" w:color="auto"/>
        <w:right w:val="none" w:sz="0" w:space="0" w:color="auto"/>
      </w:divBdr>
    </w:div>
    <w:div w:id="341786460">
      <w:bodyDiv w:val="1"/>
      <w:marLeft w:val="0"/>
      <w:marRight w:val="0"/>
      <w:marTop w:val="0"/>
      <w:marBottom w:val="0"/>
      <w:divBdr>
        <w:top w:val="none" w:sz="0" w:space="0" w:color="auto"/>
        <w:left w:val="none" w:sz="0" w:space="0" w:color="auto"/>
        <w:bottom w:val="none" w:sz="0" w:space="0" w:color="auto"/>
        <w:right w:val="none" w:sz="0" w:space="0" w:color="auto"/>
      </w:divBdr>
    </w:div>
    <w:div w:id="397631876">
      <w:bodyDiv w:val="1"/>
      <w:marLeft w:val="0"/>
      <w:marRight w:val="0"/>
      <w:marTop w:val="0"/>
      <w:marBottom w:val="0"/>
      <w:divBdr>
        <w:top w:val="none" w:sz="0" w:space="0" w:color="auto"/>
        <w:left w:val="none" w:sz="0" w:space="0" w:color="auto"/>
        <w:bottom w:val="none" w:sz="0" w:space="0" w:color="auto"/>
        <w:right w:val="none" w:sz="0" w:space="0" w:color="auto"/>
      </w:divBdr>
    </w:div>
    <w:div w:id="436951838">
      <w:bodyDiv w:val="1"/>
      <w:marLeft w:val="0"/>
      <w:marRight w:val="0"/>
      <w:marTop w:val="0"/>
      <w:marBottom w:val="0"/>
      <w:divBdr>
        <w:top w:val="none" w:sz="0" w:space="0" w:color="auto"/>
        <w:left w:val="none" w:sz="0" w:space="0" w:color="auto"/>
        <w:bottom w:val="none" w:sz="0" w:space="0" w:color="auto"/>
        <w:right w:val="none" w:sz="0" w:space="0" w:color="auto"/>
      </w:divBdr>
    </w:div>
    <w:div w:id="454059136">
      <w:bodyDiv w:val="1"/>
      <w:marLeft w:val="0"/>
      <w:marRight w:val="0"/>
      <w:marTop w:val="0"/>
      <w:marBottom w:val="0"/>
      <w:divBdr>
        <w:top w:val="none" w:sz="0" w:space="0" w:color="auto"/>
        <w:left w:val="none" w:sz="0" w:space="0" w:color="auto"/>
        <w:bottom w:val="none" w:sz="0" w:space="0" w:color="auto"/>
        <w:right w:val="none" w:sz="0" w:space="0" w:color="auto"/>
      </w:divBdr>
      <w:divsChild>
        <w:div w:id="1199512558">
          <w:marLeft w:val="0"/>
          <w:marRight w:val="0"/>
          <w:marTop w:val="0"/>
          <w:marBottom w:val="0"/>
          <w:divBdr>
            <w:top w:val="none" w:sz="0" w:space="0" w:color="auto"/>
            <w:left w:val="none" w:sz="0" w:space="0" w:color="auto"/>
            <w:bottom w:val="none" w:sz="0" w:space="0" w:color="auto"/>
            <w:right w:val="none" w:sz="0" w:space="0" w:color="auto"/>
          </w:divBdr>
          <w:divsChild>
            <w:div w:id="18468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4654">
      <w:bodyDiv w:val="1"/>
      <w:marLeft w:val="0"/>
      <w:marRight w:val="0"/>
      <w:marTop w:val="0"/>
      <w:marBottom w:val="0"/>
      <w:divBdr>
        <w:top w:val="none" w:sz="0" w:space="0" w:color="auto"/>
        <w:left w:val="none" w:sz="0" w:space="0" w:color="auto"/>
        <w:bottom w:val="none" w:sz="0" w:space="0" w:color="auto"/>
        <w:right w:val="none" w:sz="0" w:space="0" w:color="auto"/>
      </w:divBdr>
    </w:div>
    <w:div w:id="614095196">
      <w:bodyDiv w:val="1"/>
      <w:marLeft w:val="0"/>
      <w:marRight w:val="0"/>
      <w:marTop w:val="0"/>
      <w:marBottom w:val="0"/>
      <w:divBdr>
        <w:top w:val="none" w:sz="0" w:space="0" w:color="auto"/>
        <w:left w:val="none" w:sz="0" w:space="0" w:color="auto"/>
        <w:bottom w:val="none" w:sz="0" w:space="0" w:color="auto"/>
        <w:right w:val="none" w:sz="0" w:space="0" w:color="auto"/>
      </w:divBdr>
    </w:div>
    <w:div w:id="662510293">
      <w:bodyDiv w:val="1"/>
      <w:marLeft w:val="0"/>
      <w:marRight w:val="0"/>
      <w:marTop w:val="0"/>
      <w:marBottom w:val="0"/>
      <w:divBdr>
        <w:top w:val="none" w:sz="0" w:space="0" w:color="auto"/>
        <w:left w:val="none" w:sz="0" w:space="0" w:color="auto"/>
        <w:bottom w:val="none" w:sz="0" w:space="0" w:color="auto"/>
        <w:right w:val="none" w:sz="0" w:space="0" w:color="auto"/>
      </w:divBdr>
    </w:div>
    <w:div w:id="727581480">
      <w:bodyDiv w:val="1"/>
      <w:marLeft w:val="0"/>
      <w:marRight w:val="0"/>
      <w:marTop w:val="0"/>
      <w:marBottom w:val="0"/>
      <w:divBdr>
        <w:top w:val="none" w:sz="0" w:space="0" w:color="auto"/>
        <w:left w:val="none" w:sz="0" w:space="0" w:color="auto"/>
        <w:bottom w:val="none" w:sz="0" w:space="0" w:color="auto"/>
        <w:right w:val="none" w:sz="0" w:space="0" w:color="auto"/>
      </w:divBdr>
    </w:div>
    <w:div w:id="829176277">
      <w:bodyDiv w:val="1"/>
      <w:marLeft w:val="0"/>
      <w:marRight w:val="0"/>
      <w:marTop w:val="0"/>
      <w:marBottom w:val="0"/>
      <w:divBdr>
        <w:top w:val="none" w:sz="0" w:space="0" w:color="auto"/>
        <w:left w:val="none" w:sz="0" w:space="0" w:color="auto"/>
        <w:bottom w:val="none" w:sz="0" w:space="0" w:color="auto"/>
        <w:right w:val="none" w:sz="0" w:space="0" w:color="auto"/>
      </w:divBdr>
    </w:div>
    <w:div w:id="852885818">
      <w:bodyDiv w:val="1"/>
      <w:marLeft w:val="0"/>
      <w:marRight w:val="0"/>
      <w:marTop w:val="0"/>
      <w:marBottom w:val="0"/>
      <w:divBdr>
        <w:top w:val="none" w:sz="0" w:space="0" w:color="auto"/>
        <w:left w:val="none" w:sz="0" w:space="0" w:color="auto"/>
        <w:bottom w:val="none" w:sz="0" w:space="0" w:color="auto"/>
        <w:right w:val="none" w:sz="0" w:space="0" w:color="auto"/>
      </w:divBdr>
    </w:div>
    <w:div w:id="1175337090">
      <w:bodyDiv w:val="1"/>
      <w:marLeft w:val="0"/>
      <w:marRight w:val="0"/>
      <w:marTop w:val="0"/>
      <w:marBottom w:val="0"/>
      <w:divBdr>
        <w:top w:val="none" w:sz="0" w:space="0" w:color="auto"/>
        <w:left w:val="none" w:sz="0" w:space="0" w:color="auto"/>
        <w:bottom w:val="none" w:sz="0" w:space="0" w:color="auto"/>
        <w:right w:val="none" w:sz="0" w:space="0" w:color="auto"/>
      </w:divBdr>
    </w:div>
    <w:div w:id="1215964283">
      <w:bodyDiv w:val="1"/>
      <w:marLeft w:val="0"/>
      <w:marRight w:val="0"/>
      <w:marTop w:val="0"/>
      <w:marBottom w:val="0"/>
      <w:divBdr>
        <w:top w:val="none" w:sz="0" w:space="0" w:color="auto"/>
        <w:left w:val="none" w:sz="0" w:space="0" w:color="auto"/>
        <w:bottom w:val="none" w:sz="0" w:space="0" w:color="auto"/>
        <w:right w:val="none" w:sz="0" w:space="0" w:color="auto"/>
      </w:divBdr>
    </w:div>
    <w:div w:id="1359307521">
      <w:bodyDiv w:val="1"/>
      <w:marLeft w:val="0"/>
      <w:marRight w:val="0"/>
      <w:marTop w:val="0"/>
      <w:marBottom w:val="0"/>
      <w:divBdr>
        <w:top w:val="none" w:sz="0" w:space="0" w:color="auto"/>
        <w:left w:val="none" w:sz="0" w:space="0" w:color="auto"/>
        <w:bottom w:val="none" w:sz="0" w:space="0" w:color="auto"/>
        <w:right w:val="none" w:sz="0" w:space="0" w:color="auto"/>
      </w:divBdr>
    </w:div>
    <w:div w:id="1450930811">
      <w:bodyDiv w:val="1"/>
      <w:marLeft w:val="0"/>
      <w:marRight w:val="0"/>
      <w:marTop w:val="0"/>
      <w:marBottom w:val="0"/>
      <w:divBdr>
        <w:top w:val="none" w:sz="0" w:space="0" w:color="auto"/>
        <w:left w:val="none" w:sz="0" w:space="0" w:color="auto"/>
        <w:bottom w:val="none" w:sz="0" w:space="0" w:color="auto"/>
        <w:right w:val="none" w:sz="0" w:space="0" w:color="auto"/>
      </w:divBdr>
      <w:divsChild>
        <w:div w:id="555707695">
          <w:marLeft w:val="0"/>
          <w:marRight w:val="0"/>
          <w:marTop w:val="0"/>
          <w:marBottom w:val="0"/>
          <w:divBdr>
            <w:top w:val="none" w:sz="0" w:space="0" w:color="auto"/>
            <w:left w:val="none" w:sz="0" w:space="0" w:color="auto"/>
            <w:bottom w:val="none" w:sz="0" w:space="0" w:color="auto"/>
            <w:right w:val="none" w:sz="0" w:space="0" w:color="auto"/>
          </w:divBdr>
          <w:divsChild>
            <w:div w:id="5866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7533">
      <w:bodyDiv w:val="1"/>
      <w:marLeft w:val="0"/>
      <w:marRight w:val="0"/>
      <w:marTop w:val="0"/>
      <w:marBottom w:val="0"/>
      <w:divBdr>
        <w:top w:val="none" w:sz="0" w:space="0" w:color="auto"/>
        <w:left w:val="none" w:sz="0" w:space="0" w:color="auto"/>
        <w:bottom w:val="none" w:sz="0" w:space="0" w:color="auto"/>
        <w:right w:val="none" w:sz="0" w:space="0" w:color="auto"/>
      </w:divBdr>
      <w:divsChild>
        <w:div w:id="1260747950">
          <w:marLeft w:val="0"/>
          <w:marRight w:val="0"/>
          <w:marTop w:val="0"/>
          <w:marBottom w:val="0"/>
          <w:divBdr>
            <w:top w:val="none" w:sz="0" w:space="0" w:color="auto"/>
            <w:left w:val="none" w:sz="0" w:space="0" w:color="auto"/>
            <w:bottom w:val="none" w:sz="0" w:space="0" w:color="auto"/>
            <w:right w:val="none" w:sz="0" w:space="0" w:color="auto"/>
          </w:divBdr>
          <w:divsChild>
            <w:div w:id="58919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08951">
      <w:bodyDiv w:val="1"/>
      <w:marLeft w:val="0"/>
      <w:marRight w:val="0"/>
      <w:marTop w:val="0"/>
      <w:marBottom w:val="0"/>
      <w:divBdr>
        <w:top w:val="none" w:sz="0" w:space="0" w:color="auto"/>
        <w:left w:val="none" w:sz="0" w:space="0" w:color="auto"/>
        <w:bottom w:val="none" w:sz="0" w:space="0" w:color="auto"/>
        <w:right w:val="none" w:sz="0" w:space="0" w:color="auto"/>
      </w:divBdr>
    </w:div>
    <w:div w:id="1725062248">
      <w:bodyDiv w:val="1"/>
      <w:marLeft w:val="0"/>
      <w:marRight w:val="0"/>
      <w:marTop w:val="0"/>
      <w:marBottom w:val="0"/>
      <w:divBdr>
        <w:top w:val="none" w:sz="0" w:space="0" w:color="auto"/>
        <w:left w:val="none" w:sz="0" w:space="0" w:color="auto"/>
        <w:bottom w:val="none" w:sz="0" w:space="0" w:color="auto"/>
        <w:right w:val="none" w:sz="0" w:space="0" w:color="auto"/>
      </w:divBdr>
    </w:div>
    <w:div w:id="1763181927">
      <w:bodyDiv w:val="1"/>
      <w:marLeft w:val="0"/>
      <w:marRight w:val="0"/>
      <w:marTop w:val="0"/>
      <w:marBottom w:val="0"/>
      <w:divBdr>
        <w:top w:val="none" w:sz="0" w:space="0" w:color="auto"/>
        <w:left w:val="none" w:sz="0" w:space="0" w:color="auto"/>
        <w:bottom w:val="none" w:sz="0" w:space="0" w:color="auto"/>
        <w:right w:val="none" w:sz="0" w:space="0" w:color="auto"/>
      </w:divBdr>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 w:id="2021617261">
      <w:bodyDiv w:val="1"/>
      <w:marLeft w:val="0"/>
      <w:marRight w:val="0"/>
      <w:marTop w:val="0"/>
      <w:marBottom w:val="0"/>
      <w:divBdr>
        <w:top w:val="none" w:sz="0" w:space="0" w:color="auto"/>
        <w:left w:val="none" w:sz="0" w:space="0" w:color="auto"/>
        <w:bottom w:val="none" w:sz="0" w:space="0" w:color="auto"/>
        <w:right w:val="none" w:sz="0" w:space="0" w:color="auto"/>
      </w:divBdr>
    </w:div>
    <w:div w:id="2098135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F89474-C87D-4536-9C98-206552F184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Pages>
  <Words>1673</Words>
  <Characters>9207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Melissa Bop</cp:lastModifiedBy>
  <cp:revision>11</cp:revision>
  <dcterms:created xsi:type="dcterms:W3CDTF">2025-07-14T15:24:00Z</dcterms:created>
  <dcterms:modified xsi:type="dcterms:W3CDTF">2025-09-24T17:49:00Z</dcterms:modified>
</cp:coreProperties>
</file>