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2EE7E5C9" w:rsidR="002E0F91" w:rsidRPr="00B90903" w:rsidRDefault="002604CF" w:rsidP="009622E9">
      <w:pPr>
        <w:rPr>
          <w:rFonts w:ascii="Times New Roman" w:hAnsi="Times New Roman" w:cs="Times New Roman"/>
          <w:sz w:val="24"/>
          <w:szCs w:val="24"/>
          <w:lang w:val="es-US"/>
        </w:rPr>
      </w:pPr>
      <w:r w:rsidRPr="00B90903">
        <w:rPr>
          <w:rFonts w:ascii="Times New Roman" w:hAnsi="Times New Roman"/>
          <w:sz w:val="24"/>
          <w:lang w:val="es-US"/>
        </w:rPr>
        <w:t>La Junta Estatal de Odontólogos (Junta) propone esta enmienda a la regla 108 del título  22 del TAC, en relación con el estándar mínimo de atención. La enmienda se relaciona con la venta, diseño y fabricación de dispositivos de ortodoncia según se establece en el Proyecto de Ley 4070 de la Legislatura 89 de Texas, Sesión Ordinaria (2025), y codificado en el Artículo 431.024 del Código de Salud y Seguridad. El proyecto de ley busca proteger a los pacientes de prácticas inseguras estableciendo requisitos para la persona que venda un dispositivo de ortodoncia o brinde un servicio relacionado con el diseño o fabricación de dicho dispositivo a pacientes en Texas, lo que incluye requerir un examen en persona.</w:t>
      </w:r>
    </w:p>
    <w:p w14:paraId="7AC0AD1A" w14:textId="7AAD7139" w:rsidR="002604CF" w:rsidRPr="00B90903" w:rsidRDefault="002604CF" w:rsidP="009622E9">
      <w:pPr>
        <w:rPr>
          <w:rFonts w:ascii="Times New Roman" w:hAnsi="Times New Roman" w:cs="Times New Roman"/>
          <w:sz w:val="24"/>
          <w:szCs w:val="24"/>
          <w:lang w:val="es-US"/>
        </w:rPr>
      </w:pPr>
      <w:r w:rsidRPr="00B90903">
        <w:rPr>
          <w:rFonts w:ascii="Times New Roman" w:hAnsi="Times New Roman"/>
          <w:sz w:val="24"/>
          <w:lang w:val="es-US"/>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B90903" w:rsidRDefault="002604CF" w:rsidP="002604CF">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B90903" w:rsidRDefault="002604CF" w:rsidP="002604CF">
      <w:pPr>
        <w:spacing w:after="0" w:line="240" w:lineRule="auto"/>
        <w:rPr>
          <w:rFonts w:ascii="Times New Roman" w:hAnsi="Times New Roman" w:cs="Times New Roman"/>
          <w:sz w:val="24"/>
          <w:szCs w:val="24"/>
          <w:lang w:val="es-US"/>
        </w:rPr>
      </w:pPr>
    </w:p>
    <w:p w14:paraId="73BF3D0C" w14:textId="77777777" w:rsidR="002604CF" w:rsidRPr="00B90903" w:rsidRDefault="002604CF" w:rsidP="002604CF">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DECLARACIÓN DE IMPACTO SOBRE EL EMPLEO LOCAL: Casey Nichols también ha determinado que la regla propuesta no afecta las economías y el empleo locales. </w:t>
      </w:r>
    </w:p>
    <w:p w14:paraId="0A95F484" w14:textId="77777777" w:rsidR="002604CF" w:rsidRPr="00B90903" w:rsidRDefault="002604CF" w:rsidP="002604CF">
      <w:pPr>
        <w:spacing w:after="0" w:line="240" w:lineRule="auto"/>
        <w:rPr>
          <w:rFonts w:ascii="Times New Roman" w:hAnsi="Times New Roman" w:cs="Times New Roman"/>
          <w:sz w:val="24"/>
          <w:szCs w:val="24"/>
          <w:lang w:val="es-US"/>
        </w:rPr>
      </w:pPr>
    </w:p>
    <w:p w14:paraId="35D228DF" w14:textId="11671927" w:rsidR="002604CF" w:rsidRPr="00B90903" w:rsidRDefault="002604CF" w:rsidP="002604CF">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B90903" w:rsidRDefault="002604CF" w:rsidP="002604CF">
      <w:pPr>
        <w:spacing w:after="0" w:line="240" w:lineRule="auto"/>
        <w:rPr>
          <w:rFonts w:ascii="Times New Roman" w:hAnsi="Times New Roman" w:cs="Times New Roman"/>
          <w:sz w:val="24"/>
          <w:szCs w:val="24"/>
          <w:lang w:val="es-US"/>
        </w:rPr>
      </w:pPr>
    </w:p>
    <w:p w14:paraId="6D10C40D" w14:textId="7B0EFD89" w:rsidR="002604CF" w:rsidRPr="00B90903" w:rsidRDefault="002604CF" w:rsidP="002604CF">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implementación de la regla propuesta no requiere la creación o eliminación de puestos de empleados; (3) la implementación de la regla propuesta no requiere un aumento o disminución en las asignaciones futuras; (4) la regla propuesta no requiere un aumento de las tasas pagadas a la agencia; (5) la norma propuesta crea una nueva regulación; (6) la norma propuesta no amplía una regulación existente; (7) la regla propuesta no aumenta ni disminuye la cantidad de personas sujetas a ella; y (8) la regla propuesta no afecta positiva o negativamente la economía del estado. </w:t>
      </w:r>
    </w:p>
    <w:p w14:paraId="7DCE5659" w14:textId="77777777" w:rsidR="00352A6B" w:rsidRPr="00B90903" w:rsidRDefault="00352A6B" w:rsidP="002604CF">
      <w:pPr>
        <w:spacing w:after="0" w:line="240" w:lineRule="auto"/>
        <w:rPr>
          <w:rFonts w:ascii="Times New Roman" w:hAnsi="Times New Roman" w:cs="Times New Roman"/>
          <w:sz w:val="24"/>
          <w:szCs w:val="24"/>
          <w:lang w:val="es-US"/>
        </w:rPr>
      </w:pPr>
    </w:p>
    <w:p w14:paraId="373E0D73" w14:textId="77777777" w:rsidR="002604CF" w:rsidRPr="00B90903" w:rsidRDefault="002604CF" w:rsidP="002604CF">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sidRPr="00B90903">
        <w:rPr>
          <w:rFonts w:ascii="Times New Roman" w:hAnsi="Times New Roman"/>
          <w:i/>
          <w:sz w:val="24"/>
          <w:lang w:val="es-US"/>
        </w:rPr>
        <w:t>Registro de Texas</w:t>
      </w:r>
      <w:r w:rsidRPr="00B90903">
        <w:rPr>
          <w:rFonts w:ascii="Times New Roman" w:hAnsi="Times New Roman"/>
          <w:sz w:val="24"/>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B90903" w:rsidRDefault="002604CF" w:rsidP="002604CF">
      <w:pPr>
        <w:spacing w:after="0" w:line="240" w:lineRule="auto"/>
        <w:rPr>
          <w:rFonts w:ascii="Times New Roman" w:hAnsi="Times New Roman" w:cs="Times New Roman"/>
          <w:sz w:val="24"/>
          <w:szCs w:val="24"/>
          <w:lang w:val="es-US"/>
        </w:rPr>
      </w:pPr>
    </w:p>
    <w:p w14:paraId="71558DB0" w14:textId="09217C4A" w:rsidR="00AD218F" w:rsidRPr="00B90903" w:rsidRDefault="002604CF" w:rsidP="00F57022">
      <w:pPr>
        <w:rPr>
          <w:rFonts w:ascii="Times New Roman" w:hAnsi="Times New Roman" w:cs="Times New Roman"/>
          <w:sz w:val="24"/>
          <w:szCs w:val="24"/>
          <w:lang w:val="es-US"/>
        </w:rPr>
      </w:pPr>
      <w:r w:rsidRPr="00B90903">
        <w:rPr>
          <w:rFonts w:ascii="Times New Roman" w:hAnsi="Times New Roman"/>
          <w:sz w:val="24"/>
          <w:lang w:val="es-US"/>
        </w:rPr>
        <w:t xml:space="preserve">Esta regla se propone conforme al Artículo 254.001(a) del Código de Ocupaciones de Texas, que otorga a la Junta la autoridad para adoptar las reglas necesarias para desempeñar sus tareas y </w:t>
      </w:r>
      <w:r w:rsidRPr="00B90903">
        <w:rPr>
          <w:rFonts w:ascii="Times New Roman" w:hAnsi="Times New Roman"/>
          <w:sz w:val="24"/>
          <w:lang w:val="es-US"/>
        </w:rPr>
        <w:lastRenderedPageBreak/>
        <w:t>garantizar el cumplimiento de las leyes estatales relacionadas con la práctica de la odontología para proteger la salud y seguridad públicas; y el Artículo 431.024 del Código de Salud y Seguridad de Texas.</w:t>
      </w:r>
    </w:p>
    <w:p w14:paraId="7EEE1BEB" w14:textId="63D34A9B" w:rsidR="00E55372" w:rsidRPr="00B90903" w:rsidRDefault="00AD218F" w:rsidP="00F57022">
      <w:pPr>
        <w:rPr>
          <w:rFonts w:ascii="Times New Roman" w:hAnsi="Times New Roman" w:cs="Times New Roman"/>
          <w:sz w:val="24"/>
          <w:szCs w:val="24"/>
          <w:lang w:val="es-US"/>
        </w:rPr>
      </w:pPr>
      <w:r w:rsidRPr="00B90903">
        <w:rPr>
          <w:rFonts w:ascii="Times New Roman" w:hAnsi="Times New Roman"/>
          <w:sz w:val="24"/>
          <w:lang w:val="es-US"/>
        </w:rPr>
        <w:t>Esta regla propuesta implementa el Artículo 431.024 del Código de Salud y Seguridad como se establece en el Proyecto de Ley 4070 de la Legislatura 89 de Texas, Sesión Ordinaria (2025).</w:t>
      </w:r>
    </w:p>
    <w:p w14:paraId="38454A84" w14:textId="77A6D6F3" w:rsidR="00E55A69" w:rsidRPr="00B90903" w:rsidRDefault="002604CF" w:rsidP="00E55372">
      <w:pPr>
        <w:spacing w:after="0" w:line="240" w:lineRule="auto"/>
        <w:rPr>
          <w:rFonts w:ascii="Times New Roman" w:hAnsi="Times New Roman" w:cs="Times New Roman"/>
          <w:sz w:val="24"/>
          <w:szCs w:val="24"/>
          <w:lang w:val="es-US"/>
        </w:rPr>
      </w:pPr>
      <w:r w:rsidRPr="00B90903">
        <w:rPr>
          <w:rFonts w:ascii="Times New Roman" w:hAnsi="Times New Roman"/>
          <w:sz w:val="24"/>
          <w:lang w:val="es-US"/>
        </w:rPr>
        <w:t xml:space="preserve">Los asesores legales de la Junta han revisado la regla propuesta y determinado que su adopción se encuentra dentro de la autoridad de la Junta. </w:t>
      </w:r>
    </w:p>
    <w:p w14:paraId="5EC3602B" w14:textId="77777777" w:rsidR="00AD218F" w:rsidRPr="00B90903" w:rsidRDefault="00AD218F" w:rsidP="00E55372">
      <w:pPr>
        <w:spacing w:after="0" w:line="240" w:lineRule="auto"/>
        <w:rPr>
          <w:rFonts w:ascii="Times New Roman" w:hAnsi="Times New Roman" w:cs="Times New Roman"/>
          <w:sz w:val="24"/>
          <w:szCs w:val="24"/>
          <w:lang w:val="es-US"/>
        </w:rPr>
      </w:pPr>
    </w:p>
    <w:p w14:paraId="45D27804" w14:textId="2251D42B" w:rsidR="002604CF" w:rsidRPr="00B90903" w:rsidRDefault="002604CF" w:rsidP="002604CF">
      <w:pPr>
        <w:spacing w:after="0" w:line="240" w:lineRule="auto"/>
        <w:rPr>
          <w:rFonts w:ascii="Times New Roman" w:eastAsia="Times New Roman" w:hAnsi="Times New Roman" w:cs="Times New Roman"/>
          <w:sz w:val="24"/>
          <w:szCs w:val="24"/>
          <w:lang w:val="es-US"/>
        </w:rPr>
      </w:pPr>
      <w:r w:rsidRPr="00B90903">
        <w:rPr>
          <w:rFonts w:ascii="Times New Roman" w:hAnsi="Times New Roman"/>
          <w:sz w:val="24"/>
          <w:lang w:val="es-US"/>
        </w:rPr>
        <w:t>&lt;regla&gt;</w:t>
      </w:r>
    </w:p>
    <w:p w14:paraId="035143E8" w14:textId="77777777" w:rsidR="00171F70" w:rsidRPr="00B90903" w:rsidRDefault="00171F70" w:rsidP="00465BBD">
      <w:pPr>
        <w:spacing w:after="0" w:line="240" w:lineRule="auto"/>
        <w:rPr>
          <w:rFonts w:ascii="Times New Roman" w:eastAsia="Times New Roman" w:hAnsi="Times New Roman" w:cs="Times New Roman"/>
          <w:sz w:val="24"/>
          <w:szCs w:val="24"/>
          <w:lang w:val="es-US"/>
        </w:rPr>
      </w:pPr>
    </w:p>
    <w:p w14:paraId="62D6448B" w14:textId="0CC03CB9" w:rsidR="00C96851" w:rsidRPr="00B90903" w:rsidRDefault="00465BBD" w:rsidP="00465BBD">
      <w:pPr>
        <w:spacing w:after="0" w:line="240" w:lineRule="auto"/>
        <w:rPr>
          <w:rFonts w:ascii="Times New Roman" w:eastAsia="Times New Roman" w:hAnsi="Times New Roman" w:cs="Times New Roman"/>
          <w:sz w:val="24"/>
          <w:szCs w:val="24"/>
          <w:lang w:val="es-US"/>
        </w:rPr>
      </w:pPr>
      <w:r w:rsidRPr="00B90903">
        <w:rPr>
          <w:rFonts w:ascii="Times New Roman" w:hAnsi="Times New Roman"/>
          <w:sz w:val="24"/>
          <w:lang w:val="es-US"/>
        </w:rPr>
        <w:t>§108.7. Estándar mínimo de atención.</w:t>
      </w:r>
    </w:p>
    <w:p w14:paraId="662B6A95" w14:textId="2AA4B49D" w:rsidR="00F57022" w:rsidRPr="00B90903" w:rsidRDefault="00F57022" w:rsidP="00465BBD">
      <w:pPr>
        <w:spacing w:after="0" w:line="240" w:lineRule="auto"/>
        <w:rPr>
          <w:rFonts w:ascii="Times New Roman" w:eastAsia="Times New Roman" w:hAnsi="Times New Roman" w:cs="Times New Roman"/>
          <w:sz w:val="24"/>
          <w:szCs w:val="24"/>
          <w:lang w:val="es-US"/>
        </w:rPr>
      </w:pPr>
    </w:p>
    <w:p w14:paraId="77E67B3E"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Cada dentista deberá:</w:t>
      </w:r>
    </w:p>
    <w:p w14:paraId="6012FF7E"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 llevar a cabo su práctica de manera consistente con la de un dentista razonable y prudente en las mismas circunstancias o similares;</w:t>
      </w:r>
    </w:p>
    <w:p w14:paraId="53E07C48" w14:textId="03483DC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(2) mantener registros de pacientes que cumplan con los requisitos establecidos en el artículo 108.8 de este título (en relación con los Registros del Odontólogo);</w:t>
      </w:r>
    </w:p>
    <w:p w14:paraId="660CCB7E" w14:textId="3BF69B0A"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(3) obtener, mantener y revisar una historia clínica inicial. La historia clínica incluirá, entre otros, alergias conocidas a medicamentos, enfermedades graves, medicamentos actuales, hospitalizaciones previas y cirugías significativas, y una revisión de los sistemas fisiológicos obtenidos por los antecedentes del paciente. Se puede utilizar una "lista de verificación" para obtener consistencia a la hora de obtener información. El dentista revisará el la historia clínica con el paciente en cualquier momento que el dentista razonable y prudente lo haría en las mismas circunstancias o similares. Como mínimo, una historia clínica debe revisarse y actualizarse anualmente;</w:t>
      </w:r>
    </w:p>
    <w:p w14:paraId="13E78BD9"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(4) realizar y revisar un examen físico limitado cuando un dentista razonable y prudente lo haría en las mismas circunstancias o similares. Como mínimo, se debe realizar un examen físico limitado y revisarlo anualmente;</w:t>
      </w:r>
    </w:p>
    <w:p w14:paraId="34ECCCF7" w14:textId="7EA6A4F2"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(5) para emergencias del consultorio:</w:t>
      </w:r>
    </w:p>
    <w:p w14:paraId="7B7FDDFE" w14:textId="2169B818"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(A) mantener un equipo de respiración a presión positiva, incluido el oxígeno, que esté en buenas condiciones;</w:t>
      </w:r>
    </w:p>
    <w:p w14:paraId="7374574D" w14:textId="7522D0B2"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(B) mantener otro equipo de emergencia y/o medicamentos actualmente caducados , tal como lo haría un dentista razonable y prudente con la misma capacitación y experiencia o similar en las mismas circunstancias o similares.</w:t>
      </w:r>
    </w:p>
    <w:p w14:paraId="514612E4" w14:textId="37E823B0"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 xml:space="preserve">(C) brindar capacitación al personal del consultorio dental en procedimientos de emergencia que incluirán, entre otros, soporte vital cardíaco básico, inspección y utilización del equipo de emergencia en el consultorio dental y procedimientos de consultorio que se seguirán en caso de </w:t>
      </w:r>
      <w:r w:rsidRPr="00B90903">
        <w:rPr>
          <w:rFonts w:ascii="Times New Roman" w:hAnsi="Times New Roman"/>
          <w:sz w:val="24"/>
          <w:lang w:val="es-US"/>
        </w:rPr>
        <w:lastRenderedPageBreak/>
        <w:t>una emergencia según lo determine un dentista razonable y prudente en las mismas circunstancias o similares; y</w:t>
      </w:r>
    </w:p>
    <w:p w14:paraId="084FA0A7" w14:textId="5FADFA24"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D) se adherirá a los protocolos y/o estándares de atención generalmente aceptados para el manejo de complicaciones y emergencias;</w:t>
      </w:r>
    </w:p>
    <w:p w14:paraId="71D2E8C1" w14:textId="40043874"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(6) completar con éxito un curso actual de resucitación cardiopulmonar básica dado o aprobado por la American Heart Association o la Cruz Roja Americana;</w:t>
      </w:r>
    </w:p>
    <w:p w14:paraId="433815E5"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(7) mantener un consentimiento informado escrito firmado por el paciente, o un padre o tutor legal del paciente, si el paciente es menor de edad, o si el paciente ha sido adjudicado incompetente para manejar los asuntos personales del paciente. Se requiere un consentimiento informado escrito firmado para todos los planes y procedimientos de tratamiento cuando existe una posibilidad razonable de complicaciones del tratamiento planificado o un procedimiento, o los planes y procedimientos de tratamiento involucran riesgos o peligros que podrían influir a una persona razonable para tomar una decisión de dar o denegar el consentimiento. Dichos consentimientos deben divulgar todas y cada una de las complicaciones, riesgos y peligros;</w:t>
      </w:r>
    </w:p>
    <w:p w14:paraId="59ACCDAD"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(8) proteger a los pacientes contra infecciones evitables según lo requiere este capítulo;</w:t>
      </w:r>
    </w:p>
    <w:p w14:paraId="555B5DBB"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(9) no ser negligente en la prestación de servicios dentales;</w:t>
      </w:r>
    </w:p>
    <w:p w14:paraId="2D27C0C0" w14:textId="7CF690D4"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(10) usar la diligencia adecuada en la consulta del dentista;</w:t>
      </w:r>
    </w:p>
    <w:p w14:paraId="691A5C37"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(11) mantener un inventario centralizado de medicamentos;</w:t>
      </w:r>
    </w:p>
    <w:p w14:paraId="33509B59"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(12) informar la muerte u hospitalización del paciente según lo requiere este capítulo;</w:t>
      </w:r>
    </w:p>
    <w:p w14:paraId="3664785A"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(13) cumplir con los requisitos de saneamiento según lo requiere este capítulo;</w:t>
      </w:r>
    </w:p>
    <w:p w14:paraId="4769F86D" w14:textId="7777777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(14) cumplir con los requisitos de abandono de pacientes según lo requiere este capítulo;</w:t>
      </w:r>
    </w:p>
    <w:p w14:paraId="476C3E5F" w14:textId="438C31B7"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(15) cumplir los requisitos relativos a la notificación de la interrupción de la práctica, según lo requiere el presente capítulo; [</w:t>
      </w:r>
      <w:r w:rsidRPr="00B90903">
        <w:rPr>
          <w:rFonts w:ascii="Times New Roman" w:hAnsi="Times New Roman"/>
          <w:strike/>
          <w:sz w:val="24"/>
          <w:lang w:val="es-US"/>
        </w:rPr>
        <w:t>y</w:t>
      </w:r>
      <w:r w:rsidRPr="00B90903">
        <w:rPr>
          <w:rFonts w:ascii="Times New Roman" w:hAnsi="Times New Roman"/>
          <w:sz w:val="24"/>
          <w:lang w:val="es-US"/>
        </w:rPr>
        <w:t>]</w:t>
      </w:r>
    </w:p>
    <w:p w14:paraId="1EA19503" w14:textId="3666AC8B" w:rsidR="00840877" w:rsidRPr="00B90903" w:rsidRDefault="00840877" w:rsidP="00840877">
      <w:pPr>
        <w:rPr>
          <w:rFonts w:ascii="Times New Roman" w:hAnsi="Times New Roman" w:cs="Times New Roman"/>
          <w:sz w:val="24"/>
          <w:szCs w:val="24"/>
          <w:lang w:val="es-US"/>
        </w:rPr>
      </w:pPr>
      <w:r w:rsidRPr="00B90903">
        <w:rPr>
          <w:rFonts w:ascii="Times New Roman" w:hAnsi="Times New Roman"/>
          <w:sz w:val="24"/>
          <w:lang w:val="es-US"/>
        </w:rPr>
        <w:t>(16) tener un permiso Nivel 1 (permiso mínimo de sedación) emitido por la Junta antes de recetar y/o administrar Halcion (triazolam), y debe administrar Halcion (triazolam) en  el consultorio</w:t>
      </w:r>
      <w:r w:rsidRPr="00B90903">
        <w:rPr>
          <w:rFonts w:ascii="Times New Roman" w:hAnsi="Times New Roman"/>
          <w:sz w:val="24"/>
          <w:u w:val="single"/>
          <w:lang w:val="es-US"/>
        </w:rPr>
        <w:t>; y</w:t>
      </w:r>
      <w:r w:rsidRPr="00B90903">
        <w:rPr>
          <w:rFonts w:ascii="Times New Roman" w:hAnsi="Times New Roman"/>
          <w:sz w:val="24"/>
          <w:lang w:val="es-US"/>
        </w:rPr>
        <w:t xml:space="preserve"> </w:t>
      </w:r>
      <w:r w:rsidRPr="00B90903">
        <w:rPr>
          <w:rFonts w:ascii="Times New Roman" w:hAnsi="Times New Roman"/>
          <w:sz w:val="24"/>
          <w:u w:val="single"/>
          <w:lang w:val="es-US"/>
        </w:rPr>
        <w:t>[</w:t>
      </w:r>
      <w:r w:rsidRPr="00B90903">
        <w:rPr>
          <w:rFonts w:ascii="Times New Roman" w:hAnsi="Times New Roman"/>
          <w:strike/>
          <w:sz w:val="24"/>
          <w:lang w:val="es-US"/>
        </w:rPr>
        <w:t>.</w:t>
      </w:r>
      <w:r w:rsidRPr="00B90903">
        <w:rPr>
          <w:rFonts w:ascii="Times New Roman" w:hAnsi="Times New Roman"/>
          <w:sz w:val="24"/>
          <w:lang w:val="es-US"/>
        </w:rPr>
        <w:t xml:space="preserve">] </w:t>
      </w:r>
    </w:p>
    <w:p w14:paraId="05E1E544" w14:textId="49A9C61E" w:rsidR="006506EF" w:rsidRPr="00B90903" w:rsidRDefault="00E8090D" w:rsidP="00840877">
      <w:pPr>
        <w:rPr>
          <w:rFonts w:ascii="Times New Roman" w:hAnsi="Times New Roman" w:cs="Times New Roman"/>
          <w:sz w:val="24"/>
          <w:szCs w:val="24"/>
          <w:u w:val="single"/>
          <w:lang w:val="es-US"/>
        </w:rPr>
      </w:pPr>
      <w:r w:rsidRPr="00B90903">
        <w:rPr>
          <w:rFonts w:ascii="Times New Roman" w:hAnsi="Times New Roman"/>
          <w:sz w:val="24"/>
          <w:u w:val="single"/>
          <w:lang w:val="es-US"/>
        </w:rPr>
        <w:t xml:space="preserve">(17) cumplir con los requisitos del </w:t>
      </w:r>
      <w:bookmarkStart w:id="0" w:name="_Hlk220656051"/>
      <w:r w:rsidRPr="00B90903">
        <w:rPr>
          <w:rFonts w:ascii="Times New Roman" w:hAnsi="Times New Roman"/>
          <w:sz w:val="24"/>
          <w:u w:val="single"/>
          <w:lang w:val="es-US"/>
        </w:rPr>
        <w:t xml:space="preserve">Artículo 431.024 del Código de Salud y Seguridad </w:t>
      </w:r>
      <w:bookmarkEnd w:id="0"/>
      <w:r w:rsidRPr="00B90903">
        <w:rPr>
          <w:rFonts w:ascii="Times New Roman" w:hAnsi="Times New Roman"/>
          <w:sz w:val="24"/>
          <w:u w:val="single"/>
          <w:lang w:val="es-US"/>
        </w:rPr>
        <w:t>antes de vender un dispositivo de ortodoncia a un paciente o prestar un servicio relacionado con el diseño o fabricación de un dispositivo de ortodoncia, lo que incluye realizar un examen intraoral en persona y un examen de la cabeza y el cuello del paciente.</w:t>
      </w:r>
    </w:p>
    <w:p w14:paraId="1F263903" w14:textId="2E103B24" w:rsidR="0024514A" w:rsidRPr="00B90903" w:rsidRDefault="0024514A" w:rsidP="00FF6CA6">
      <w:pPr>
        <w:rPr>
          <w:rFonts w:ascii="Times New Roman" w:hAnsi="Times New Roman" w:cs="Times New Roman"/>
          <w:sz w:val="24"/>
          <w:szCs w:val="24"/>
          <w:lang w:val="es-US"/>
        </w:rPr>
      </w:pPr>
    </w:p>
    <w:sectPr w:rsidR="0024514A" w:rsidRPr="00B909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0F3B19"/>
    <w:rsid w:val="00104706"/>
    <w:rsid w:val="00122B18"/>
    <w:rsid w:val="00147C5A"/>
    <w:rsid w:val="00152CEF"/>
    <w:rsid w:val="001566E2"/>
    <w:rsid w:val="0016072B"/>
    <w:rsid w:val="0016410C"/>
    <w:rsid w:val="00170261"/>
    <w:rsid w:val="00171F70"/>
    <w:rsid w:val="001756AF"/>
    <w:rsid w:val="00186156"/>
    <w:rsid w:val="0019556E"/>
    <w:rsid w:val="00197AF8"/>
    <w:rsid w:val="001A0A1E"/>
    <w:rsid w:val="001A28C3"/>
    <w:rsid w:val="001B1402"/>
    <w:rsid w:val="001C0539"/>
    <w:rsid w:val="001C2097"/>
    <w:rsid w:val="001C40E8"/>
    <w:rsid w:val="001C74D1"/>
    <w:rsid w:val="001D083B"/>
    <w:rsid w:val="001D3125"/>
    <w:rsid w:val="001F01F6"/>
    <w:rsid w:val="001F1F84"/>
    <w:rsid w:val="00200BD6"/>
    <w:rsid w:val="002010FB"/>
    <w:rsid w:val="00202077"/>
    <w:rsid w:val="002129A5"/>
    <w:rsid w:val="00216CA1"/>
    <w:rsid w:val="002252B0"/>
    <w:rsid w:val="00230669"/>
    <w:rsid w:val="0024514A"/>
    <w:rsid w:val="002553FF"/>
    <w:rsid w:val="002604CF"/>
    <w:rsid w:val="002641FC"/>
    <w:rsid w:val="002648F2"/>
    <w:rsid w:val="00274417"/>
    <w:rsid w:val="0028586D"/>
    <w:rsid w:val="00291A81"/>
    <w:rsid w:val="00292D96"/>
    <w:rsid w:val="002A5516"/>
    <w:rsid w:val="002A7368"/>
    <w:rsid w:val="002B2D03"/>
    <w:rsid w:val="002B56EF"/>
    <w:rsid w:val="002C0441"/>
    <w:rsid w:val="002C5DD1"/>
    <w:rsid w:val="002E0F91"/>
    <w:rsid w:val="002E1F0B"/>
    <w:rsid w:val="002E3B47"/>
    <w:rsid w:val="002E4E96"/>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2AC"/>
    <w:rsid w:val="003C7A4C"/>
    <w:rsid w:val="003E109C"/>
    <w:rsid w:val="003E2C59"/>
    <w:rsid w:val="003E5C9D"/>
    <w:rsid w:val="003F0121"/>
    <w:rsid w:val="00403D6C"/>
    <w:rsid w:val="004111C7"/>
    <w:rsid w:val="0041347F"/>
    <w:rsid w:val="00416E66"/>
    <w:rsid w:val="004171B1"/>
    <w:rsid w:val="004254CA"/>
    <w:rsid w:val="004261E0"/>
    <w:rsid w:val="004454E9"/>
    <w:rsid w:val="00451892"/>
    <w:rsid w:val="004655DE"/>
    <w:rsid w:val="00465BBD"/>
    <w:rsid w:val="0047583E"/>
    <w:rsid w:val="00476A97"/>
    <w:rsid w:val="00487D47"/>
    <w:rsid w:val="00490983"/>
    <w:rsid w:val="004A0142"/>
    <w:rsid w:val="004C180D"/>
    <w:rsid w:val="004E331E"/>
    <w:rsid w:val="004E35FE"/>
    <w:rsid w:val="004E5C87"/>
    <w:rsid w:val="00517838"/>
    <w:rsid w:val="005223AC"/>
    <w:rsid w:val="0052741D"/>
    <w:rsid w:val="005278E7"/>
    <w:rsid w:val="00527CEE"/>
    <w:rsid w:val="00531099"/>
    <w:rsid w:val="00531962"/>
    <w:rsid w:val="00531DD4"/>
    <w:rsid w:val="00532434"/>
    <w:rsid w:val="00536B7E"/>
    <w:rsid w:val="00554427"/>
    <w:rsid w:val="005576F5"/>
    <w:rsid w:val="00561AD2"/>
    <w:rsid w:val="00567836"/>
    <w:rsid w:val="00571C31"/>
    <w:rsid w:val="00575A8A"/>
    <w:rsid w:val="00583FD3"/>
    <w:rsid w:val="00594F2B"/>
    <w:rsid w:val="005A10A7"/>
    <w:rsid w:val="005A3911"/>
    <w:rsid w:val="005B7AB8"/>
    <w:rsid w:val="005C35A4"/>
    <w:rsid w:val="005C3B18"/>
    <w:rsid w:val="005C5920"/>
    <w:rsid w:val="005E1C28"/>
    <w:rsid w:val="005E1FAB"/>
    <w:rsid w:val="005E5973"/>
    <w:rsid w:val="005F1CE3"/>
    <w:rsid w:val="00611158"/>
    <w:rsid w:val="006149EB"/>
    <w:rsid w:val="006321BD"/>
    <w:rsid w:val="00634379"/>
    <w:rsid w:val="00634CFD"/>
    <w:rsid w:val="0063536D"/>
    <w:rsid w:val="00636A90"/>
    <w:rsid w:val="006377D8"/>
    <w:rsid w:val="0064197C"/>
    <w:rsid w:val="00643D5F"/>
    <w:rsid w:val="00650456"/>
    <w:rsid w:val="006506EF"/>
    <w:rsid w:val="00666027"/>
    <w:rsid w:val="006700BE"/>
    <w:rsid w:val="00675328"/>
    <w:rsid w:val="00687ADA"/>
    <w:rsid w:val="00697BE7"/>
    <w:rsid w:val="006B273B"/>
    <w:rsid w:val="006B5603"/>
    <w:rsid w:val="006C76DD"/>
    <w:rsid w:val="006D0841"/>
    <w:rsid w:val="006D2F1E"/>
    <w:rsid w:val="006D45C6"/>
    <w:rsid w:val="006D5105"/>
    <w:rsid w:val="006E21E7"/>
    <w:rsid w:val="006E54AD"/>
    <w:rsid w:val="006F1E2B"/>
    <w:rsid w:val="006F2A4C"/>
    <w:rsid w:val="00704AA5"/>
    <w:rsid w:val="00715C72"/>
    <w:rsid w:val="00725748"/>
    <w:rsid w:val="00725C59"/>
    <w:rsid w:val="00727BE3"/>
    <w:rsid w:val="00741B01"/>
    <w:rsid w:val="00750185"/>
    <w:rsid w:val="00750F9D"/>
    <w:rsid w:val="00752B19"/>
    <w:rsid w:val="00762C16"/>
    <w:rsid w:val="00765F24"/>
    <w:rsid w:val="00766DF5"/>
    <w:rsid w:val="00767379"/>
    <w:rsid w:val="00771267"/>
    <w:rsid w:val="007916EA"/>
    <w:rsid w:val="007A68FB"/>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2435A"/>
    <w:rsid w:val="00831E35"/>
    <w:rsid w:val="00833BB0"/>
    <w:rsid w:val="00836A52"/>
    <w:rsid w:val="00837590"/>
    <w:rsid w:val="00840877"/>
    <w:rsid w:val="00840F41"/>
    <w:rsid w:val="00852781"/>
    <w:rsid w:val="008653DC"/>
    <w:rsid w:val="00881B30"/>
    <w:rsid w:val="00883AE3"/>
    <w:rsid w:val="00893647"/>
    <w:rsid w:val="00893FB7"/>
    <w:rsid w:val="008A5A5E"/>
    <w:rsid w:val="008A743C"/>
    <w:rsid w:val="008B33C9"/>
    <w:rsid w:val="008B6299"/>
    <w:rsid w:val="008D01E7"/>
    <w:rsid w:val="008D6B97"/>
    <w:rsid w:val="008F1CCC"/>
    <w:rsid w:val="008F282B"/>
    <w:rsid w:val="009125E3"/>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72FFA"/>
    <w:rsid w:val="00A85AA1"/>
    <w:rsid w:val="00A926E3"/>
    <w:rsid w:val="00A972C7"/>
    <w:rsid w:val="00AA3F0D"/>
    <w:rsid w:val="00AB67CD"/>
    <w:rsid w:val="00AC11A0"/>
    <w:rsid w:val="00AC4132"/>
    <w:rsid w:val="00AC5B45"/>
    <w:rsid w:val="00AD218F"/>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0903"/>
    <w:rsid w:val="00B95EF2"/>
    <w:rsid w:val="00BA5F83"/>
    <w:rsid w:val="00BB6A66"/>
    <w:rsid w:val="00BC0AF4"/>
    <w:rsid w:val="00BC3F78"/>
    <w:rsid w:val="00BD5C88"/>
    <w:rsid w:val="00BE4186"/>
    <w:rsid w:val="00BE544F"/>
    <w:rsid w:val="00BE59CB"/>
    <w:rsid w:val="00BE5C00"/>
    <w:rsid w:val="00C15901"/>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43960"/>
    <w:rsid w:val="00D6656E"/>
    <w:rsid w:val="00D9062B"/>
    <w:rsid w:val="00DA1A86"/>
    <w:rsid w:val="00DA633D"/>
    <w:rsid w:val="00DA7638"/>
    <w:rsid w:val="00DC54CE"/>
    <w:rsid w:val="00DD0FCE"/>
    <w:rsid w:val="00DD669C"/>
    <w:rsid w:val="00DF3841"/>
    <w:rsid w:val="00E03276"/>
    <w:rsid w:val="00E03A36"/>
    <w:rsid w:val="00E15F4D"/>
    <w:rsid w:val="00E23BB6"/>
    <w:rsid w:val="00E4345C"/>
    <w:rsid w:val="00E53413"/>
    <w:rsid w:val="00E55372"/>
    <w:rsid w:val="00E55A69"/>
    <w:rsid w:val="00E62014"/>
    <w:rsid w:val="00E6334C"/>
    <w:rsid w:val="00E70743"/>
    <w:rsid w:val="00E77830"/>
    <w:rsid w:val="00E8090D"/>
    <w:rsid w:val="00E87E96"/>
    <w:rsid w:val="00E969E8"/>
    <w:rsid w:val="00EA263F"/>
    <w:rsid w:val="00EA35BF"/>
    <w:rsid w:val="00EB40DF"/>
    <w:rsid w:val="00EC244C"/>
    <w:rsid w:val="00ED052D"/>
    <w:rsid w:val="00EE67AD"/>
    <w:rsid w:val="00EE70A1"/>
    <w:rsid w:val="00EF0CE3"/>
    <w:rsid w:val="00EF24A7"/>
    <w:rsid w:val="00EF6B9F"/>
    <w:rsid w:val="00F06585"/>
    <w:rsid w:val="00F21006"/>
    <w:rsid w:val="00F218EB"/>
    <w:rsid w:val="00F222FD"/>
    <w:rsid w:val="00F25CAB"/>
    <w:rsid w:val="00F334D9"/>
    <w:rsid w:val="00F4162B"/>
    <w:rsid w:val="00F57022"/>
    <w:rsid w:val="00F62E83"/>
    <w:rsid w:val="00F9767F"/>
    <w:rsid w:val="00FA0037"/>
    <w:rsid w:val="00FB1345"/>
    <w:rsid w:val="00FB1461"/>
    <w:rsid w:val="00FB6673"/>
    <w:rsid w:val="00FD4EE0"/>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3</Pages>
  <Words>1222</Words>
  <Characters>6967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Mark Bonnett</cp:lastModifiedBy>
  <cp:revision>28</cp:revision>
  <dcterms:created xsi:type="dcterms:W3CDTF">2025-07-14T15:24:00Z</dcterms:created>
  <dcterms:modified xsi:type="dcterms:W3CDTF">2026-03-24T17:20:00Z</dcterms:modified>
</cp:coreProperties>
</file>