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3264C" w14:textId="70B62D88" w:rsidR="00231A65" w:rsidRPr="00AC0E30" w:rsidRDefault="002604CF" w:rsidP="004166C7">
      <w:pPr>
        <w:spacing w:line="240" w:lineRule="auto"/>
        <w:jc w:val="both"/>
        <w:rPr>
          <w:rFonts w:ascii="Times New Roman" w:hAnsi="Times New Roman" w:cs="Times New Roman"/>
          <w:sz w:val="24"/>
          <w:szCs w:val="24"/>
          <w:lang w:val="es-US"/>
        </w:rPr>
      </w:pPr>
      <w:r w:rsidRPr="00AC0E30">
        <w:rPr>
          <w:rFonts w:ascii="Times New Roman" w:hAnsi="Times New Roman"/>
          <w:sz w:val="24"/>
          <w:lang w:val="es-US"/>
        </w:rPr>
        <w:t>La Junta Estatal de Odontólogos (Junta) propone esta enmienda a la regla 114 del título 22 del TAC, en relación con la educación continua para titulares de certificados de asistente dental registrado (RDA). La enmienda propuesta permitirá a los RDA completar sus horas de educación continua, incluidas las horas clínicas, a través de autoestudio aprobado por la Junta, cursos de computación interactivos o cursos de conferencias. La Junta ha requerido que las horas clínicas se completen a través de un curso en vivo; sin embargo, permitir que las horas clínicas se completen a través de formatos a su propio ritmo o en línea mejorará la accesibilidad, eficiencia y asequibilidad al tiempo que se mantiene la calidad educativa.</w:t>
      </w:r>
    </w:p>
    <w:p w14:paraId="7AC0AD1A" w14:textId="751132C8" w:rsidR="002604CF" w:rsidRPr="00AC0E30" w:rsidRDefault="002604CF" w:rsidP="009622E9">
      <w:pPr>
        <w:rPr>
          <w:rFonts w:ascii="Times New Roman" w:hAnsi="Times New Roman" w:cs="Times New Roman"/>
          <w:sz w:val="24"/>
          <w:szCs w:val="24"/>
          <w:lang w:val="es-US"/>
        </w:rPr>
      </w:pPr>
      <w:r w:rsidRPr="00AC0E30">
        <w:rPr>
          <w:rFonts w:ascii="Times New Roman" w:hAnsi="Times New Roman"/>
          <w:sz w:val="24"/>
          <w:lang w:val="es-US"/>
        </w:rPr>
        <w:t xml:space="preserve">NOTA FISCAL: Casey Nichols, Directora Ejecutiva, ha determinado que en el primer período de cinco años en que esté vigente la regla propuesta, la regla propuesta no tenga implicancias previsibles relativas a costos o rentas de los gobiernos estatal o local. </w:t>
      </w:r>
    </w:p>
    <w:p w14:paraId="2364F95D" w14:textId="11A65FD4" w:rsidR="002604CF" w:rsidRPr="00AC0E30" w:rsidRDefault="002604CF" w:rsidP="002604CF">
      <w:pPr>
        <w:spacing w:after="0" w:line="240" w:lineRule="auto"/>
        <w:rPr>
          <w:rFonts w:ascii="Times New Roman" w:hAnsi="Times New Roman" w:cs="Times New Roman"/>
          <w:sz w:val="24"/>
          <w:szCs w:val="24"/>
          <w:lang w:val="es-US"/>
        </w:rPr>
      </w:pPr>
      <w:r w:rsidRPr="00AC0E30">
        <w:rPr>
          <w:rFonts w:ascii="Times New Roman" w:hAnsi="Times New Roman"/>
          <w:sz w:val="24"/>
          <w:lang w:val="es-US"/>
        </w:rPr>
        <w:t>NOTA PÚBLICA DE COSTOS Y BENEFICIOS: Casey Nichols también ha determinado que, en el primer período de cinco años en que esté vigente la regla propuesta, el beneficio público anticipado como resultado de esta regla será la protección de la seguridad y el bienestar públicos.</w:t>
      </w:r>
    </w:p>
    <w:p w14:paraId="69FCFAB5" w14:textId="77777777" w:rsidR="00DF0079" w:rsidRPr="00AC0E30" w:rsidRDefault="00DF0079" w:rsidP="002604CF">
      <w:pPr>
        <w:spacing w:after="0" w:line="240" w:lineRule="auto"/>
        <w:rPr>
          <w:rFonts w:ascii="Times New Roman" w:hAnsi="Times New Roman" w:cs="Times New Roman"/>
          <w:sz w:val="24"/>
          <w:szCs w:val="24"/>
          <w:lang w:val="es-US"/>
        </w:rPr>
      </w:pPr>
    </w:p>
    <w:p w14:paraId="73BF3D0C" w14:textId="77777777" w:rsidR="002604CF" w:rsidRPr="00AC0E30" w:rsidRDefault="002604CF" w:rsidP="002604CF">
      <w:pPr>
        <w:spacing w:after="0" w:line="240" w:lineRule="auto"/>
        <w:rPr>
          <w:rFonts w:ascii="Times New Roman" w:hAnsi="Times New Roman" w:cs="Times New Roman"/>
          <w:sz w:val="24"/>
          <w:szCs w:val="24"/>
          <w:lang w:val="es-US"/>
        </w:rPr>
      </w:pPr>
      <w:r w:rsidRPr="00AC0E30">
        <w:rPr>
          <w:rFonts w:ascii="Times New Roman" w:hAnsi="Times New Roman"/>
          <w:sz w:val="24"/>
          <w:lang w:val="es-US"/>
        </w:rPr>
        <w:t xml:space="preserve">DECLARACIÓN DE IMPACTO SOBRE EL EMPLEO LOCAL: Casey Nichols también ha determinado que la regla propuesta no afecta las economías y el empleo locales. </w:t>
      </w:r>
    </w:p>
    <w:p w14:paraId="0A95F484" w14:textId="77777777" w:rsidR="002604CF" w:rsidRPr="00AC0E30" w:rsidRDefault="002604CF" w:rsidP="002604CF">
      <w:pPr>
        <w:spacing w:after="0" w:line="240" w:lineRule="auto"/>
        <w:rPr>
          <w:rFonts w:ascii="Times New Roman" w:hAnsi="Times New Roman" w:cs="Times New Roman"/>
          <w:sz w:val="24"/>
          <w:szCs w:val="24"/>
          <w:lang w:val="es-US"/>
        </w:rPr>
      </w:pPr>
    </w:p>
    <w:p w14:paraId="35D228DF" w14:textId="77777777" w:rsidR="002604CF" w:rsidRPr="00AC0E30" w:rsidRDefault="002604CF" w:rsidP="002604CF">
      <w:pPr>
        <w:spacing w:after="0" w:line="240" w:lineRule="auto"/>
        <w:rPr>
          <w:rFonts w:ascii="Times New Roman" w:hAnsi="Times New Roman" w:cs="Times New Roman"/>
          <w:sz w:val="24"/>
          <w:szCs w:val="24"/>
          <w:lang w:val="es-US"/>
        </w:rPr>
      </w:pPr>
      <w:r w:rsidRPr="00AC0E30">
        <w:rPr>
          <w:rFonts w:ascii="Times New Roman" w:hAnsi="Times New Roman"/>
          <w:sz w:val="24"/>
          <w:lang w:val="es-US"/>
        </w:rPr>
        <w:t xml:space="preserve">DECLARACIÓN DE IMPACTO SOBRE LAS PEQUEÑAS Y MICROEMPRESAS Y LA COMUNIDAD RURAL: Casey Nichols ha determinado que no se requiere una declaración de impacto económico y análisis de flexibilidad normativa para pequeñas empresas, microempresas y comunidades rurales para esta regla propuesta. </w:t>
      </w:r>
    </w:p>
    <w:p w14:paraId="5A76C056" w14:textId="77777777" w:rsidR="002604CF" w:rsidRPr="00AC0E30" w:rsidRDefault="002604CF" w:rsidP="002604CF">
      <w:pPr>
        <w:spacing w:after="0" w:line="240" w:lineRule="auto"/>
        <w:rPr>
          <w:rFonts w:ascii="Times New Roman" w:hAnsi="Times New Roman" w:cs="Times New Roman"/>
          <w:sz w:val="24"/>
          <w:szCs w:val="24"/>
          <w:lang w:val="es-US"/>
        </w:rPr>
      </w:pPr>
    </w:p>
    <w:p w14:paraId="6D10C40D" w14:textId="17CED359" w:rsidR="002604CF" w:rsidRPr="00AC0E30" w:rsidRDefault="002604CF" w:rsidP="002604CF">
      <w:pPr>
        <w:spacing w:after="0" w:line="240" w:lineRule="auto"/>
        <w:rPr>
          <w:rFonts w:ascii="Times New Roman" w:hAnsi="Times New Roman" w:cs="Times New Roman"/>
          <w:sz w:val="24"/>
          <w:szCs w:val="24"/>
          <w:lang w:val="es-US"/>
        </w:rPr>
      </w:pPr>
      <w:r w:rsidRPr="00AC0E30">
        <w:rPr>
          <w:rFonts w:ascii="Times New Roman" w:hAnsi="Times New Roman"/>
          <w:sz w:val="24"/>
          <w:lang w:val="es-US"/>
        </w:rPr>
        <w:t xml:space="preserve">DECLARACIÓN DE IMPACTO SOBRE EL CRECIMIENTO DEL GOBIERNO: La Junta ha determinado que, durante el primer período de cinco años en que esté vigente la regla, se aplicarían los siguientes efectos sobre el crecimiento gubernamental: (1) la regla propuesta no crea ni elimina un programa gubernamental; (2) la implementación de la regla propuesta no requiere la creación o eliminación de puestos de empleados; (3) la implementación de la regla propuesta no requiere un aumento o disminución en las asignaciones futuras; (4) la regla propuesta no requiere un aumento de las tasas pagadas a la agencia; (5) la regla propuesta crea una nueva regulación; (6) la regla propuesta no amplía una regulación existente; (7) la regla propuesta no aumenta ni disminuye la cantidad de personas sujetas a ella; y (8) la regla propuesta no afecta positiva o negativamente la economía del estado. </w:t>
      </w:r>
    </w:p>
    <w:p w14:paraId="7DCE5659" w14:textId="77777777" w:rsidR="00352A6B" w:rsidRPr="00AC0E30" w:rsidRDefault="00352A6B" w:rsidP="002604CF">
      <w:pPr>
        <w:spacing w:after="0" w:line="240" w:lineRule="auto"/>
        <w:rPr>
          <w:rFonts w:ascii="Times New Roman" w:hAnsi="Times New Roman" w:cs="Times New Roman"/>
          <w:sz w:val="24"/>
          <w:szCs w:val="24"/>
          <w:lang w:val="es-US"/>
        </w:rPr>
      </w:pPr>
    </w:p>
    <w:p w14:paraId="373E0D73" w14:textId="77777777" w:rsidR="002604CF" w:rsidRPr="00AC0E30" w:rsidRDefault="002604CF" w:rsidP="002604CF">
      <w:pPr>
        <w:spacing w:after="0" w:line="240" w:lineRule="auto"/>
        <w:rPr>
          <w:rFonts w:ascii="Times New Roman" w:hAnsi="Times New Roman" w:cs="Times New Roman"/>
          <w:sz w:val="24"/>
          <w:szCs w:val="24"/>
          <w:lang w:val="es-US"/>
        </w:rPr>
      </w:pPr>
      <w:r w:rsidRPr="00AC0E30">
        <w:rPr>
          <w:rFonts w:ascii="Times New Roman" w:hAnsi="Times New Roman"/>
          <w:sz w:val="24"/>
          <w:lang w:val="es-US"/>
        </w:rPr>
        <w:t xml:space="preserve">Se pueden enviar comentarios sobre la regla propuesta a Casey Nichols, Directora Ejecutiva, a 1801 </w:t>
      </w:r>
      <w:proofErr w:type="spellStart"/>
      <w:r w:rsidRPr="00AC0E30">
        <w:rPr>
          <w:rFonts w:ascii="Times New Roman" w:hAnsi="Times New Roman"/>
          <w:sz w:val="24"/>
          <w:lang w:val="es-US"/>
        </w:rPr>
        <w:t>Congress</w:t>
      </w:r>
      <w:proofErr w:type="spellEnd"/>
      <w:r w:rsidRPr="00AC0E30">
        <w:rPr>
          <w:rFonts w:ascii="Times New Roman" w:hAnsi="Times New Roman"/>
          <w:sz w:val="24"/>
          <w:lang w:val="es-US"/>
        </w:rPr>
        <w:t xml:space="preserve"> Avenue, Suite 8.600, Austin, Texas 78701, por fax al (512) 649-2482, o por correo electrónico a official_rules_comments@tsbde.texas.gov durante 30 días luego de la fecha de publicación de la regla propuesta en el </w:t>
      </w:r>
      <w:r w:rsidRPr="00AC0E30">
        <w:rPr>
          <w:rFonts w:ascii="Times New Roman" w:hAnsi="Times New Roman"/>
          <w:i/>
          <w:sz w:val="24"/>
          <w:lang w:val="es-US"/>
        </w:rPr>
        <w:t>Registro de Texas</w:t>
      </w:r>
      <w:r w:rsidRPr="00AC0E30">
        <w:rPr>
          <w:rFonts w:ascii="Times New Roman" w:hAnsi="Times New Roman"/>
          <w:sz w:val="24"/>
          <w:lang w:val="es-US"/>
        </w:rPr>
        <w:t xml:space="preserve">. Para que se tenga en cuenta a fines de esta creación de reglas, los comentarios deben: (1) tener sello postal o enviarse antes del último día del período de comentarios; o (2) enviarse por fax o correo electrónico antes de la medianoche del último día del período de comentarios. </w:t>
      </w:r>
    </w:p>
    <w:p w14:paraId="6296CFD0" w14:textId="77777777" w:rsidR="002604CF" w:rsidRPr="00AC0E30" w:rsidRDefault="002604CF" w:rsidP="002604CF">
      <w:pPr>
        <w:spacing w:after="0" w:line="240" w:lineRule="auto"/>
        <w:rPr>
          <w:rFonts w:ascii="Times New Roman" w:hAnsi="Times New Roman" w:cs="Times New Roman"/>
          <w:sz w:val="24"/>
          <w:szCs w:val="24"/>
          <w:lang w:val="es-US"/>
        </w:rPr>
      </w:pPr>
    </w:p>
    <w:p w14:paraId="7D89B7ED" w14:textId="17FDBD4F" w:rsidR="002604CF" w:rsidRPr="00AC0E30" w:rsidRDefault="002604CF" w:rsidP="00997CB9">
      <w:pPr>
        <w:rPr>
          <w:rFonts w:ascii="Times New Roman" w:hAnsi="Times New Roman" w:cs="Times New Roman"/>
          <w:sz w:val="24"/>
          <w:szCs w:val="24"/>
          <w:lang w:val="es-US"/>
        </w:rPr>
      </w:pPr>
      <w:r w:rsidRPr="00AC0E30">
        <w:rPr>
          <w:rFonts w:ascii="Times New Roman" w:hAnsi="Times New Roman"/>
          <w:sz w:val="24"/>
          <w:lang w:val="es-US"/>
        </w:rPr>
        <w:t xml:space="preserve">Esta regla se propone conforme a la regla 254.001(a) del Código de Ocupaciones de Texas, que reviste a la Junta de autoridad para adoptar reglas necesarias para realizar sus tareas y garantizar </w:t>
      </w:r>
      <w:r w:rsidRPr="00AC0E30">
        <w:rPr>
          <w:rFonts w:ascii="Times New Roman" w:hAnsi="Times New Roman"/>
          <w:sz w:val="24"/>
          <w:lang w:val="es-US"/>
        </w:rPr>
        <w:lastRenderedPageBreak/>
        <w:t xml:space="preserve">el cumplimiento de las leyes estatales con respecto a la práctica de la odontología en un ámbito profesional para proteger la salud pública y la seguridad. </w:t>
      </w:r>
    </w:p>
    <w:p w14:paraId="05BB2763" w14:textId="39EFA3E0" w:rsidR="008460B4" w:rsidRPr="00AC0E30" w:rsidRDefault="008460B4" w:rsidP="00997CB9">
      <w:pPr>
        <w:rPr>
          <w:rFonts w:ascii="Times New Roman" w:hAnsi="Times New Roman" w:cs="Times New Roman"/>
          <w:sz w:val="24"/>
          <w:szCs w:val="24"/>
          <w:lang w:val="es-US"/>
        </w:rPr>
      </w:pPr>
      <w:r w:rsidRPr="00AC0E30">
        <w:rPr>
          <w:rFonts w:ascii="Times New Roman" w:hAnsi="Times New Roman"/>
          <w:sz w:val="24"/>
          <w:lang w:val="es-US"/>
        </w:rPr>
        <w:t>Ninguna ley se ve afectada por esta regla propuesta.</w:t>
      </w:r>
    </w:p>
    <w:p w14:paraId="27620599" w14:textId="77777777" w:rsidR="002604CF" w:rsidRPr="00AC0E30" w:rsidRDefault="002604CF" w:rsidP="002604CF">
      <w:pPr>
        <w:spacing w:after="0" w:line="240" w:lineRule="auto"/>
        <w:rPr>
          <w:rFonts w:ascii="Times New Roman" w:hAnsi="Times New Roman" w:cs="Times New Roman"/>
          <w:sz w:val="24"/>
          <w:szCs w:val="24"/>
          <w:lang w:val="es-US"/>
        </w:rPr>
      </w:pPr>
      <w:r w:rsidRPr="00AC0E30">
        <w:rPr>
          <w:rFonts w:ascii="Times New Roman" w:hAnsi="Times New Roman"/>
          <w:sz w:val="24"/>
          <w:lang w:val="es-US"/>
        </w:rPr>
        <w:t xml:space="preserve">Los asesores legales de la Junta han revisado la regla propuesta y determinado que su adopción se encuentra dentro de la autoridad de la Junta. </w:t>
      </w:r>
    </w:p>
    <w:p w14:paraId="767D73DA" w14:textId="77777777" w:rsidR="002604CF" w:rsidRPr="00AC0E30" w:rsidRDefault="002604CF" w:rsidP="002604CF">
      <w:pPr>
        <w:spacing w:after="0" w:line="240" w:lineRule="auto"/>
        <w:rPr>
          <w:rFonts w:ascii="Times New Roman" w:hAnsi="Times New Roman" w:cs="Times New Roman"/>
          <w:sz w:val="24"/>
          <w:szCs w:val="24"/>
          <w:lang w:val="es-US"/>
        </w:rPr>
      </w:pPr>
    </w:p>
    <w:p w14:paraId="45D27804" w14:textId="77777777" w:rsidR="002604CF" w:rsidRPr="00AC0E30" w:rsidRDefault="002604CF" w:rsidP="002604CF">
      <w:pPr>
        <w:spacing w:after="0" w:line="240" w:lineRule="auto"/>
        <w:rPr>
          <w:rFonts w:ascii="Times New Roman" w:eastAsia="Times New Roman" w:hAnsi="Times New Roman" w:cs="Times New Roman"/>
          <w:sz w:val="24"/>
          <w:szCs w:val="24"/>
          <w:lang w:val="es-US"/>
        </w:rPr>
      </w:pPr>
      <w:r w:rsidRPr="00AC0E30">
        <w:rPr>
          <w:rFonts w:ascii="Times New Roman" w:hAnsi="Times New Roman"/>
          <w:sz w:val="24"/>
          <w:lang w:val="es-US"/>
        </w:rPr>
        <w:t>&lt;regla&gt;</w:t>
      </w:r>
    </w:p>
    <w:p w14:paraId="035143E8" w14:textId="77777777" w:rsidR="00171F70" w:rsidRPr="00AC0E30" w:rsidRDefault="00171F70" w:rsidP="00465BBD">
      <w:pPr>
        <w:spacing w:after="0" w:line="240" w:lineRule="auto"/>
        <w:rPr>
          <w:rFonts w:ascii="Times New Roman" w:eastAsia="Times New Roman" w:hAnsi="Times New Roman" w:cs="Times New Roman"/>
          <w:sz w:val="24"/>
          <w:szCs w:val="24"/>
          <w:lang w:val="es-US"/>
        </w:rPr>
      </w:pPr>
    </w:p>
    <w:p w14:paraId="62D6448B" w14:textId="02F3939D" w:rsidR="00C96851" w:rsidRPr="00AC0E30" w:rsidRDefault="00465BBD" w:rsidP="00465BBD">
      <w:pPr>
        <w:spacing w:after="0" w:line="240" w:lineRule="auto"/>
        <w:rPr>
          <w:rFonts w:ascii="Times New Roman" w:eastAsia="Times New Roman" w:hAnsi="Times New Roman" w:cs="Times New Roman"/>
          <w:sz w:val="24"/>
          <w:szCs w:val="24"/>
          <w:lang w:val="es-US"/>
        </w:rPr>
      </w:pPr>
      <w:r w:rsidRPr="00AC0E30">
        <w:rPr>
          <w:rFonts w:ascii="Times New Roman" w:hAnsi="Times New Roman"/>
          <w:sz w:val="24"/>
          <w:lang w:val="es-US"/>
        </w:rPr>
        <w:t>§114.12. Educación continua para titulares de certificados.</w:t>
      </w:r>
    </w:p>
    <w:p w14:paraId="73B04CEF" w14:textId="77777777" w:rsidR="0052741D" w:rsidRPr="00AC0E30" w:rsidRDefault="0052741D" w:rsidP="00465BBD">
      <w:pPr>
        <w:spacing w:after="0" w:line="240" w:lineRule="auto"/>
        <w:rPr>
          <w:rFonts w:ascii="Times New Roman" w:eastAsia="Times New Roman" w:hAnsi="Times New Roman" w:cs="Times New Roman"/>
          <w:sz w:val="24"/>
          <w:szCs w:val="24"/>
          <w:lang w:val="es-US"/>
        </w:rPr>
      </w:pPr>
    </w:p>
    <w:p w14:paraId="06462369" w14:textId="7C543FC2" w:rsidR="00DC274D" w:rsidRPr="00AC0E30" w:rsidRDefault="00DC274D" w:rsidP="00DC274D">
      <w:pPr>
        <w:rPr>
          <w:rFonts w:ascii="Times New Roman" w:hAnsi="Times New Roman" w:cs="Times New Roman"/>
          <w:sz w:val="24"/>
          <w:szCs w:val="24"/>
          <w:lang w:val="es-US"/>
        </w:rPr>
      </w:pPr>
      <w:r w:rsidRPr="00AC0E30">
        <w:rPr>
          <w:rFonts w:ascii="Times New Roman" w:hAnsi="Times New Roman"/>
          <w:sz w:val="24"/>
          <w:lang w:val="es-US"/>
        </w:rPr>
        <w:t>(a) Para renovar un certificado de registro emitido conforme a este capítulo, un asistente dental debe completar doce (12) horas de educación continua cada dos años en las áreas que cubren las tareas del asistente dental. Al menos seis (6) de estas doce (12) horas deben ser educación continua clínica.</w:t>
      </w:r>
    </w:p>
    <w:p w14:paraId="4BC9335C" w14:textId="0B8171FE" w:rsidR="00DC274D" w:rsidRPr="00AC0E30" w:rsidRDefault="00DC274D" w:rsidP="00DC274D">
      <w:pPr>
        <w:rPr>
          <w:rFonts w:ascii="Times New Roman" w:hAnsi="Times New Roman" w:cs="Times New Roman"/>
          <w:sz w:val="24"/>
          <w:szCs w:val="24"/>
          <w:lang w:val="es-US"/>
        </w:rPr>
      </w:pPr>
      <w:r w:rsidRPr="00AC0E30">
        <w:rPr>
          <w:rFonts w:ascii="Times New Roman" w:hAnsi="Times New Roman"/>
          <w:sz w:val="24"/>
          <w:lang w:val="es-US"/>
        </w:rPr>
        <w:t>(b) Un asistente dental puede cumplir con el requisito de educación continua</w:t>
      </w:r>
      <w:r w:rsidRPr="00AC0E30">
        <w:rPr>
          <w:rFonts w:ascii="Times New Roman" w:hAnsi="Times New Roman"/>
          <w:sz w:val="24"/>
          <w:u w:val="single"/>
          <w:lang w:val="es-US"/>
        </w:rPr>
        <w:t xml:space="preserve">, incluso horas clínicas, </w:t>
      </w:r>
      <w:r w:rsidRPr="00AC0E30">
        <w:rPr>
          <w:rFonts w:ascii="Times New Roman" w:hAnsi="Times New Roman"/>
          <w:sz w:val="24"/>
          <w:lang w:val="es-US"/>
        </w:rPr>
        <w:t>a través de autoestudio aprobado por la junta, cursos de computación interactivos o cursos de conferencias. Toda la educación continua debe ser ofrecida por proveedores aprobados conforme a la regla 104.2 del Título 22 del Código Administrativo de Texas.</w:t>
      </w:r>
    </w:p>
    <w:p w14:paraId="00C41D74" w14:textId="77777777" w:rsidR="00DC274D" w:rsidRPr="00AC0E30" w:rsidRDefault="00DC274D" w:rsidP="00DC274D">
      <w:pPr>
        <w:rPr>
          <w:rFonts w:ascii="Times New Roman" w:hAnsi="Times New Roman" w:cs="Times New Roman"/>
          <w:sz w:val="24"/>
          <w:szCs w:val="24"/>
          <w:lang w:val="es-US"/>
        </w:rPr>
      </w:pPr>
      <w:r w:rsidRPr="00AC0E30">
        <w:rPr>
          <w:rFonts w:ascii="Times New Roman" w:hAnsi="Times New Roman"/>
          <w:sz w:val="24"/>
          <w:lang w:val="es-US"/>
        </w:rPr>
        <w:t>(c) Como prerrequisito para la renovación del certificado de registro de un asistente odontológico, se debe completar un curso en prevención de trata de blancas aprobado por el comisionado ejecutivo de la Comisión de Salud y Servicios Humanos de Texas.</w:t>
      </w:r>
    </w:p>
    <w:p w14:paraId="54FFCE6B" w14:textId="0249C2FC" w:rsidR="00AC4132" w:rsidRPr="00AC0E30" w:rsidRDefault="00AC4132" w:rsidP="00DC274D">
      <w:pPr>
        <w:rPr>
          <w:rFonts w:ascii="Times New Roman" w:hAnsi="Times New Roman" w:cs="Times New Roman"/>
          <w:sz w:val="24"/>
          <w:szCs w:val="24"/>
          <w:lang w:val="es-US"/>
        </w:rPr>
      </w:pPr>
    </w:p>
    <w:sectPr w:rsidR="00AC4132" w:rsidRPr="00AC0E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06CF8"/>
    <w:multiLevelType w:val="hybridMultilevel"/>
    <w:tmpl w:val="7A3E37D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263CAD"/>
    <w:multiLevelType w:val="hybridMultilevel"/>
    <w:tmpl w:val="989C0606"/>
    <w:lvl w:ilvl="0" w:tplc="5E264FF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B6134F"/>
    <w:multiLevelType w:val="hybridMultilevel"/>
    <w:tmpl w:val="45623872"/>
    <w:lvl w:ilvl="0" w:tplc="044AD60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3" w15:restartNumberingAfterBreak="0">
    <w:nsid w:val="4AC101D0"/>
    <w:multiLevelType w:val="hybridMultilevel"/>
    <w:tmpl w:val="C3BC856C"/>
    <w:lvl w:ilvl="0" w:tplc="7B18DECE">
      <w:start w:val="1"/>
      <w:numFmt w:val="lowerRoman"/>
      <w:lvlText w:val="%1."/>
      <w:lvlJc w:val="right"/>
      <w:pPr>
        <w:ind w:left="720" w:hanging="360"/>
      </w:pPr>
      <w:rPr>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253A13"/>
    <w:multiLevelType w:val="hybridMultilevel"/>
    <w:tmpl w:val="97808DD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5CE0906"/>
    <w:multiLevelType w:val="hybridMultilevel"/>
    <w:tmpl w:val="E618C5CA"/>
    <w:lvl w:ilvl="0" w:tplc="7B2CC6D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ADC03FD"/>
    <w:multiLevelType w:val="hybridMultilevel"/>
    <w:tmpl w:val="6180CC54"/>
    <w:lvl w:ilvl="0" w:tplc="3B2C5AD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34482926">
    <w:abstractNumId w:val="2"/>
  </w:num>
  <w:num w:numId="2" w16cid:durableId="1888490729">
    <w:abstractNumId w:val="6"/>
  </w:num>
  <w:num w:numId="3" w16cid:durableId="1149008998">
    <w:abstractNumId w:val="1"/>
  </w:num>
  <w:num w:numId="4" w16cid:durableId="20934943">
    <w:abstractNumId w:val="3"/>
  </w:num>
  <w:num w:numId="5" w16cid:durableId="1961720777">
    <w:abstractNumId w:val="4"/>
  </w:num>
  <w:num w:numId="6" w16cid:durableId="504319544">
    <w:abstractNumId w:val="0"/>
  </w:num>
  <w:num w:numId="7" w16cid:durableId="152189492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BBD"/>
    <w:rsid w:val="0000070B"/>
    <w:rsid w:val="00006752"/>
    <w:rsid w:val="00022BD3"/>
    <w:rsid w:val="000262A7"/>
    <w:rsid w:val="00026B91"/>
    <w:rsid w:val="000322BD"/>
    <w:rsid w:val="00033CF5"/>
    <w:rsid w:val="00044D21"/>
    <w:rsid w:val="00054B7F"/>
    <w:rsid w:val="0005764D"/>
    <w:rsid w:val="00063A73"/>
    <w:rsid w:val="00076D07"/>
    <w:rsid w:val="000878F1"/>
    <w:rsid w:val="000A0599"/>
    <w:rsid w:val="000A1C7D"/>
    <w:rsid w:val="000A32EC"/>
    <w:rsid w:val="000A39F2"/>
    <w:rsid w:val="000B274D"/>
    <w:rsid w:val="000B5325"/>
    <w:rsid w:val="000C5212"/>
    <w:rsid w:val="000C5F08"/>
    <w:rsid w:val="000E42B7"/>
    <w:rsid w:val="000E7DF5"/>
    <w:rsid w:val="000F3007"/>
    <w:rsid w:val="00104706"/>
    <w:rsid w:val="00147C5A"/>
    <w:rsid w:val="00152CEF"/>
    <w:rsid w:val="001566E2"/>
    <w:rsid w:val="0016410C"/>
    <w:rsid w:val="00170261"/>
    <w:rsid w:val="00171F70"/>
    <w:rsid w:val="001756AF"/>
    <w:rsid w:val="00176245"/>
    <w:rsid w:val="00186156"/>
    <w:rsid w:val="0019565F"/>
    <w:rsid w:val="00197AF8"/>
    <w:rsid w:val="001A0A1E"/>
    <w:rsid w:val="001A28C3"/>
    <w:rsid w:val="001A36BD"/>
    <w:rsid w:val="001B1402"/>
    <w:rsid w:val="001C2097"/>
    <w:rsid w:val="001C40E8"/>
    <w:rsid w:val="001C74D1"/>
    <w:rsid w:val="001D3125"/>
    <w:rsid w:val="001F01F6"/>
    <w:rsid w:val="001F1F84"/>
    <w:rsid w:val="00200BD6"/>
    <w:rsid w:val="00216CA1"/>
    <w:rsid w:val="002252B0"/>
    <w:rsid w:val="00230669"/>
    <w:rsid w:val="00231A65"/>
    <w:rsid w:val="0023434E"/>
    <w:rsid w:val="002553FF"/>
    <w:rsid w:val="002604CF"/>
    <w:rsid w:val="002641FC"/>
    <w:rsid w:val="002648F2"/>
    <w:rsid w:val="00266AF5"/>
    <w:rsid w:val="00274417"/>
    <w:rsid w:val="0028586D"/>
    <w:rsid w:val="00291A81"/>
    <w:rsid w:val="00292D96"/>
    <w:rsid w:val="002A5516"/>
    <w:rsid w:val="002A7368"/>
    <w:rsid w:val="002B2D03"/>
    <w:rsid w:val="002B56EF"/>
    <w:rsid w:val="002C0441"/>
    <w:rsid w:val="002C5DD1"/>
    <w:rsid w:val="002E1F0B"/>
    <w:rsid w:val="002E2EA5"/>
    <w:rsid w:val="002E3B47"/>
    <w:rsid w:val="002E6473"/>
    <w:rsid w:val="002F2DC2"/>
    <w:rsid w:val="00306674"/>
    <w:rsid w:val="0030725D"/>
    <w:rsid w:val="00310B3D"/>
    <w:rsid w:val="00311937"/>
    <w:rsid w:val="003122D4"/>
    <w:rsid w:val="00313E39"/>
    <w:rsid w:val="00314521"/>
    <w:rsid w:val="003253F2"/>
    <w:rsid w:val="00330211"/>
    <w:rsid w:val="00335CAF"/>
    <w:rsid w:val="00336E81"/>
    <w:rsid w:val="00343EBA"/>
    <w:rsid w:val="00352A6B"/>
    <w:rsid w:val="003574B2"/>
    <w:rsid w:val="0036237B"/>
    <w:rsid w:val="003651B1"/>
    <w:rsid w:val="0037047E"/>
    <w:rsid w:val="00375880"/>
    <w:rsid w:val="00380CE5"/>
    <w:rsid w:val="00386F51"/>
    <w:rsid w:val="003A1DC0"/>
    <w:rsid w:val="003A259D"/>
    <w:rsid w:val="003A6689"/>
    <w:rsid w:val="003A7EEA"/>
    <w:rsid w:val="003C4979"/>
    <w:rsid w:val="003C7A4C"/>
    <w:rsid w:val="003E109C"/>
    <w:rsid w:val="003E2C59"/>
    <w:rsid w:val="003E5C9D"/>
    <w:rsid w:val="003F0121"/>
    <w:rsid w:val="003F7E7B"/>
    <w:rsid w:val="00403D6C"/>
    <w:rsid w:val="00407734"/>
    <w:rsid w:val="004111C7"/>
    <w:rsid w:val="0041347F"/>
    <w:rsid w:val="004166C7"/>
    <w:rsid w:val="00416E66"/>
    <w:rsid w:val="004171B1"/>
    <w:rsid w:val="004254CA"/>
    <w:rsid w:val="00435DD9"/>
    <w:rsid w:val="004454E9"/>
    <w:rsid w:val="00461764"/>
    <w:rsid w:val="004655DE"/>
    <w:rsid w:val="00465BBD"/>
    <w:rsid w:val="0047583E"/>
    <w:rsid w:val="00476A97"/>
    <w:rsid w:val="00490983"/>
    <w:rsid w:val="004A0142"/>
    <w:rsid w:val="004C180D"/>
    <w:rsid w:val="004E35FE"/>
    <w:rsid w:val="004E5C87"/>
    <w:rsid w:val="0052741D"/>
    <w:rsid w:val="005278E7"/>
    <w:rsid w:val="00527CEE"/>
    <w:rsid w:val="00531962"/>
    <w:rsid w:val="00531DD4"/>
    <w:rsid w:val="00536B7E"/>
    <w:rsid w:val="005576F5"/>
    <w:rsid w:val="00561AD2"/>
    <w:rsid w:val="00567836"/>
    <w:rsid w:val="00571C31"/>
    <w:rsid w:val="0057495C"/>
    <w:rsid w:val="00583FD3"/>
    <w:rsid w:val="00594F2B"/>
    <w:rsid w:val="005A10A7"/>
    <w:rsid w:val="005A2C7E"/>
    <w:rsid w:val="005A3911"/>
    <w:rsid w:val="005B7AB8"/>
    <w:rsid w:val="005C14EC"/>
    <w:rsid w:val="005C35A4"/>
    <w:rsid w:val="005C5920"/>
    <w:rsid w:val="005D2111"/>
    <w:rsid w:val="005E1C28"/>
    <w:rsid w:val="005E1FAB"/>
    <w:rsid w:val="005E5973"/>
    <w:rsid w:val="005F1CE3"/>
    <w:rsid w:val="00603676"/>
    <w:rsid w:val="006149EB"/>
    <w:rsid w:val="0062237B"/>
    <w:rsid w:val="006321BD"/>
    <w:rsid w:val="00634379"/>
    <w:rsid w:val="00634CFD"/>
    <w:rsid w:val="0063536D"/>
    <w:rsid w:val="00636A90"/>
    <w:rsid w:val="006377D8"/>
    <w:rsid w:val="0064197C"/>
    <w:rsid w:val="00643D5F"/>
    <w:rsid w:val="00666027"/>
    <w:rsid w:val="006700BE"/>
    <w:rsid w:val="00672ECA"/>
    <w:rsid w:val="00675328"/>
    <w:rsid w:val="00687ADA"/>
    <w:rsid w:val="00697BE7"/>
    <w:rsid w:val="006B273B"/>
    <w:rsid w:val="006B5603"/>
    <w:rsid w:val="006C76DD"/>
    <w:rsid w:val="006D0841"/>
    <w:rsid w:val="006D2F1E"/>
    <w:rsid w:val="006D45C6"/>
    <w:rsid w:val="006E21E7"/>
    <w:rsid w:val="006F2A4C"/>
    <w:rsid w:val="00703880"/>
    <w:rsid w:val="00704AA5"/>
    <w:rsid w:val="00715C72"/>
    <w:rsid w:val="00725748"/>
    <w:rsid w:val="00727BE3"/>
    <w:rsid w:val="00741B01"/>
    <w:rsid w:val="00750185"/>
    <w:rsid w:val="00750F9D"/>
    <w:rsid w:val="00752B19"/>
    <w:rsid w:val="00762C16"/>
    <w:rsid w:val="0076407C"/>
    <w:rsid w:val="00765F24"/>
    <w:rsid w:val="00767379"/>
    <w:rsid w:val="00771267"/>
    <w:rsid w:val="007870F7"/>
    <w:rsid w:val="007916EA"/>
    <w:rsid w:val="007B1764"/>
    <w:rsid w:val="007B417D"/>
    <w:rsid w:val="007B4E8C"/>
    <w:rsid w:val="007C1BE2"/>
    <w:rsid w:val="007C3248"/>
    <w:rsid w:val="007C5EE2"/>
    <w:rsid w:val="007C62E5"/>
    <w:rsid w:val="007D29E5"/>
    <w:rsid w:val="007D4D90"/>
    <w:rsid w:val="007D5B91"/>
    <w:rsid w:val="007D7714"/>
    <w:rsid w:val="007F0D84"/>
    <w:rsid w:val="007F1207"/>
    <w:rsid w:val="007F1B2C"/>
    <w:rsid w:val="007F2323"/>
    <w:rsid w:val="007F34E2"/>
    <w:rsid w:val="00804D11"/>
    <w:rsid w:val="008126A1"/>
    <w:rsid w:val="00820D89"/>
    <w:rsid w:val="00821141"/>
    <w:rsid w:val="00831E35"/>
    <w:rsid w:val="00833BB0"/>
    <w:rsid w:val="00836A52"/>
    <w:rsid w:val="00837590"/>
    <w:rsid w:val="00840F41"/>
    <w:rsid w:val="008460B4"/>
    <w:rsid w:val="00852781"/>
    <w:rsid w:val="00856791"/>
    <w:rsid w:val="00862D70"/>
    <w:rsid w:val="0086635D"/>
    <w:rsid w:val="00881B30"/>
    <w:rsid w:val="00883AE3"/>
    <w:rsid w:val="00893647"/>
    <w:rsid w:val="008A412C"/>
    <w:rsid w:val="008A5A5E"/>
    <w:rsid w:val="008A743C"/>
    <w:rsid w:val="008B33C9"/>
    <w:rsid w:val="008B6299"/>
    <w:rsid w:val="008D01E7"/>
    <w:rsid w:val="008D6B97"/>
    <w:rsid w:val="008F1CCC"/>
    <w:rsid w:val="008F282B"/>
    <w:rsid w:val="00912B71"/>
    <w:rsid w:val="0091317E"/>
    <w:rsid w:val="00914B68"/>
    <w:rsid w:val="009247D3"/>
    <w:rsid w:val="00937791"/>
    <w:rsid w:val="00945870"/>
    <w:rsid w:val="00951A62"/>
    <w:rsid w:val="00955339"/>
    <w:rsid w:val="009570B0"/>
    <w:rsid w:val="009622E9"/>
    <w:rsid w:val="00974818"/>
    <w:rsid w:val="00985ED5"/>
    <w:rsid w:val="00991BFD"/>
    <w:rsid w:val="00992FF6"/>
    <w:rsid w:val="00997CB9"/>
    <w:rsid w:val="009A019E"/>
    <w:rsid w:val="009A05FE"/>
    <w:rsid w:val="009B07BD"/>
    <w:rsid w:val="009B0E4E"/>
    <w:rsid w:val="009B4063"/>
    <w:rsid w:val="009B60AA"/>
    <w:rsid w:val="009B60EA"/>
    <w:rsid w:val="009B6146"/>
    <w:rsid w:val="009D0E77"/>
    <w:rsid w:val="009E0989"/>
    <w:rsid w:val="009E6B31"/>
    <w:rsid w:val="009F4198"/>
    <w:rsid w:val="00A003E2"/>
    <w:rsid w:val="00A0308B"/>
    <w:rsid w:val="00A07096"/>
    <w:rsid w:val="00A15C28"/>
    <w:rsid w:val="00A15CEF"/>
    <w:rsid w:val="00A21984"/>
    <w:rsid w:val="00A30FF3"/>
    <w:rsid w:val="00A37891"/>
    <w:rsid w:val="00A45E82"/>
    <w:rsid w:val="00A52532"/>
    <w:rsid w:val="00A5420A"/>
    <w:rsid w:val="00A56300"/>
    <w:rsid w:val="00A57ABD"/>
    <w:rsid w:val="00A6376E"/>
    <w:rsid w:val="00A722CF"/>
    <w:rsid w:val="00A72696"/>
    <w:rsid w:val="00A85AA1"/>
    <w:rsid w:val="00A926E3"/>
    <w:rsid w:val="00A972C7"/>
    <w:rsid w:val="00AA3F0D"/>
    <w:rsid w:val="00AB67CD"/>
    <w:rsid w:val="00AC0E30"/>
    <w:rsid w:val="00AC4132"/>
    <w:rsid w:val="00AC5B45"/>
    <w:rsid w:val="00AE03D3"/>
    <w:rsid w:val="00AE2A72"/>
    <w:rsid w:val="00AE6C18"/>
    <w:rsid w:val="00AE7799"/>
    <w:rsid w:val="00AF538A"/>
    <w:rsid w:val="00B02EF7"/>
    <w:rsid w:val="00B1396B"/>
    <w:rsid w:val="00B22141"/>
    <w:rsid w:val="00B230E5"/>
    <w:rsid w:val="00B330BA"/>
    <w:rsid w:val="00B357C2"/>
    <w:rsid w:val="00B3790C"/>
    <w:rsid w:val="00B51D4D"/>
    <w:rsid w:val="00B708FB"/>
    <w:rsid w:val="00B70F15"/>
    <w:rsid w:val="00B84053"/>
    <w:rsid w:val="00B95EF2"/>
    <w:rsid w:val="00BA0D38"/>
    <w:rsid w:val="00BA5F83"/>
    <w:rsid w:val="00BB6A66"/>
    <w:rsid w:val="00BC0AF4"/>
    <w:rsid w:val="00BC3F78"/>
    <w:rsid w:val="00BD5C88"/>
    <w:rsid w:val="00BE4186"/>
    <w:rsid w:val="00BE544F"/>
    <w:rsid w:val="00BE59CB"/>
    <w:rsid w:val="00BE5C00"/>
    <w:rsid w:val="00C20ABF"/>
    <w:rsid w:val="00C21738"/>
    <w:rsid w:val="00C24A31"/>
    <w:rsid w:val="00C316BA"/>
    <w:rsid w:val="00C4226C"/>
    <w:rsid w:val="00C45C88"/>
    <w:rsid w:val="00C45EAC"/>
    <w:rsid w:val="00C502EE"/>
    <w:rsid w:val="00C5127F"/>
    <w:rsid w:val="00C54CCD"/>
    <w:rsid w:val="00C56410"/>
    <w:rsid w:val="00C574FA"/>
    <w:rsid w:val="00C6074A"/>
    <w:rsid w:val="00C6251C"/>
    <w:rsid w:val="00C65CE0"/>
    <w:rsid w:val="00C676F3"/>
    <w:rsid w:val="00C87461"/>
    <w:rsid w:val="00C87FB7"/>
    <w:rsid w:val="00C91729"/>
    <w:rsid w:val="00C9313B"/>
    <w:rsid w:val="00C96851"/>
    <w:rsid w:val="00CA444B"/>
    <w:rsid w:val="00CA454D"/>
    <w:rsid w:val="00CB1069"/>
    <w:rsid w:val="00CC33AC"/>
    <w:rsid w:val="00CD384E"/>
    <w:rsid w:val="00CE11EE"/>
    <w:rsid w:val="00CF187D"/>
    <w:rsid w:val="00CF1F70"/>
    <w:rsid w:val="00CF48B1"/>
    <w:rsid w:val="00D07113"/>
    <w:rsid w:val="00D12C28"/>
    <w:rsid w:val="00D17F3C"/>
    <w:rsid w:val="00D41505"/>
    <w:rsid w:val="00D62FD7"/>
    <w:rsid w:val="00D6656E"/>
    <w:rsid w:val="00D9062B"/>
    <w:rsid w:val="00DA1A86"/>
    <w:rsid w:val="00DA7638"/>
    <w:rsid w:val="00DB3215"/>
    <w:rsid w:val="00DB7AC2"/>
    <w:rsid w:val="00DC274D"/>
    <w:rsid w:val="00DC54CE"/>
    <w:rsid w:val="00DD0FCE"/>
    <w:rsid w:val="00DD669C"/>
    <w:rsid w:val="00DF0079"/>
    <w:rsid w:val="00DF3841"/>
    <w:rsid w:val="00E03276"/>
    <w:rsid w:val="00E03A36"/>
    <w:rsid w:val="00E15F4D"/>
    <w:rsid w:val="00E23BB6"/>
    <w:rsid w:val="00E4345C"/>
    <w:rsid w:val="00E53413"/>
    <w:rsid w:val="00E62014"/>
    <w:rsid w:val="00E6334C"/>
    <w:rsid w:val="00E65CB5"/>
    <w:rsid w:val="00E70743"/>
    <w:rsid w:val="00E77830"/>
    <w:rsid w:val="00E87E96"/>
    <w:rsid w:val="00E969E8"/>
    <w:rsid w:val="00EA263F"/>
    <w:rsid w:val="00EA35BF"/>
    <w:rsid w:val="00EA4CE8"/>
    <w:rsid w:val="00EC244C"/>
    <w:rsid w:val="00EC51BF"/>
    <w:rsid w:val="00ED052D"/>
    <w:rsid w:val="00EE67AD"/>
    <w:rsid w:val="00EE70A1"/>
    <w:rsid w:val="00EF0CE3"/>
    <w:rsid w:val="00EF6B9F"/>
    <w:rsid w:val="00F06585"/>
    <w:rsid w:val="00F218EB"/>
    <w:rsid w:val="00F25CAB"/>
    <w:rsid w:val="00F334D9"/>
    <w:rsid w:val="00F4162B"/>
    <w:rsid w:val="00F62E83"/>
    <w:rsid w:val="00F86161"/>
    <w:rsid w:val="00F9767F"/>
    <w:rsid w:val="00FA0037"/>
    <w:rsid w:val="00FB1345"/>
    <w:rsid w:val="00FB6673"/>
    <w:rsid w:val="00FB6E11"/>
    <w:rsid w:val="00FD1F6C"/>
    <w:rsid w:val="00FD4EE0"/>
    <w:rsid w:val="00FE214F"/>
    <w:rsid w:val="00FE3080"/>
    <w:rsid w:val="00FE3749"/>
    <w:rsid w:val="00FF033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C6510"/>
  <w15:chartTrackingRefBased/>
  <w15:docId w15:val="{18577452-F84A-46F0-B833-8FAC04092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BBD"/>
    <w:pPr>
      <w:ind w:left="720"/>
      <w:contextualSpacing/>
    </w:pPr>
  </w:style>
  <w:style w:type="paragraph" w:styleId="BodyText">
    <w:name w:val="Body Text"/>
    <w:basedOn w:val="Normal"/>
    <w:link w:val="BodyTextChar"/>
    <w:uiPriority w:val="99"/>
    <w:unhideWhenUsed/>
    <w:rsid w:val="00336E81"/>
    <w:pPr>
      <w:spacing w:after="120"/>
    </w:pPr>
  </w:style>
  <w:style w:type="character" w:customStyle="1" w:styleId="BodyTextChar">
    <w:name w:val="Body Text Char"/>
    <w:basedOn w:val="DefaultParagraphFont"/>
    <w:link w:val="BodyText"/>
    <w:uiPriority w:val="99"/>
    <w:rsid w:val="00336E81"/>
  </w:style>
  <w:style w:type="character" w:styleId="Hyperlink">
    <w:name w:val="Hyperlink"/>
    <w:basedOn w:val="DefaultParagraphFont"/>
    <w:uiPriority w:val="99"/>
    <w:unhideWhenUsed/>
    <w:rsid w:val="00336E81"/>
    <w:rPr>
      <w:color w:val="0563C1" w:themeColor="hyperlink"/>
      <w:u w:val="single"/>
    </w:rPr>
  </w:style>
  <w:style w:type="character" w:styleId="UnresolvedMention">
    <w:name w:val="Unresolved Mention"/>
    <w:basedOn w:val="DefaultParagraphFont"/>
    <w:uiPriority w:val="99"/>
    <w:semiHidden/>
    <w:unhideWhenUsed/>
    <w:rsid w:val="00336E81"/>
    <w:rPr>
      <w:color w:val="605E5C"/>
      <w:shd w:val="clear" w:color="auto" w:fill="E1DFDD"/>
    </w:rPr>
  </w:style>
  <w:style w:type="paragraph" w:styleId="BalloonText">
    <w:name w:val="Balloon Text"/>
    <w:basedOn w:val="Normal"/>
    <w:link w:val="BalloonTextChar"/>
    <w:uiPriority w:val="99"/>
    <w:semiHidden/>
    <w:unhideWhenUsed/>
    <w:rsid w:val="005C5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5920"/>
    <w:rPr>
      <w:rFonts w:ascii="Segoe UI" w:hAnsi="Segoe UI" w:cs="Segoe UI"/>
      <w:sz w:val="18"/>
      <w:szCs w:val="18"/>
    </w:rPr>
  </w:style>
  <w:style w:type="paragraph" w:styleId="CommentText">
    <w:name w:val="annotation text"/>
    <w:basedOn w:val="Normal"/>
    <w:link w:val="CommentTextChar"/>
    <w:uiPriority w:val="99"/>
    <w:unhideWhenUsed/>
    <w:rsid w:val="00E969E8"/>
    <w:pPr>
      <w:spacing w:line="240" w:lineRule="auto"/>
    </w:pPr>
    <w:rPr>
      <w:sz w:val="20"/>
      <w:szCs w:val="20"/>
    </w:rPr>
  </w:style>
  <w:style w:type="character" w:customStyle="1" w:styleId="CommentTextChar">
    <w:name w:val="Comment Text Char"/>
    <w:basedOn w:val="DefaultParagraphFont"/>
    <w:link w:val="CommentText"/>
    <w:uiPriority w:val="99"/>
    <w:rsid w:val="00E969E8"/>
    <w:rPr>
      <w:sz w:val="20"/>
      <w:szCs w:val="20"/>
    </w:rPr>
  </w:style>
  <w:style w:type="character" w:styleId="CommentReference">
    <w:name w:val="annotation reference"/>
    <w:basedOn w:val="DefaultParagraphFont"/>
    <w:uiPriority w:val="99"/>
    <w:semiHidden/>
    <w:unhideWhenUsed/>
    <w:rsid w:val="00E969E8"/>
    <w:rPr>
      <w:sz w:val="16"/>
      <w:szCs w:val="16"/>
    </w:rPr>
  </w:style>
  <w:style w:type="paragraph" w:styleId="CommentSubject">
    <w:name w:val="annotation subject"/>
    <w:basedOn w:val="CommentText"/>
    <w:next w:val="CommentText"/>
    <w:link w:val="CommentSubjectChar"/>
    <w:uiPriority w:val="99"/>
    <w:semiHidden/>
    <w:unhideWhenUsed/>
    <w:rsid w:val="00A926E3"/>
    <w:rPr>
      <w:b/>
      <w:bCs/>
    </w:rPr>
  </w:style>
  <w:style w:type="character" w:customStyle="1" w:styleId="CommentSubjectChar">
    <w:name w:val="Comment Subject Char"/>
    <w:basedOn w:val="CommentTextChar"/>
    <w:link w:val="CommentSubject"/>
    <w:uiPriority w:val="99"/>
    <w:semiHidden/>
    <w:rsid w:val="00A926E3"/>
    <w:rPr>
      <w:b/>
      <w:bCs/>
      <w:sz w:val="20"/>
      <w:szCs w:val="20"/>
    </w:rPr>
  </w:style>
  <w:style w:type="paragraph" w:customStyle="1" w:styleId="ydpda298ee3yiv8607751865msonormal">
    <w:name w:val="ydpda298ee3yiv8607751865msonormal"/>
    <w:basedOn w:val="Normal"/>
    <w:uiPriority w:val="99"/>
    <w:rsid w:val="00914B68"/>
    <w:pPr>
      <w:spacing w:before="100" w:beforeAutospacing="1" w:after="100" w:afterAutospacing="1" w:line="240" w:lineRule="auto"/>
    </w:pPr>
    <w:rPr>
      <w:rFonts w:ascii="Calibri" w:hAnsi="Calibri" w:cs="Calibri"/>
    </w:rPr>
  </w:style>
  <w:style w:type="paragraph" w:styleId="NormalWeb">
    <w:name w:val="Normal (Web)"/>
    <w:basedOn w:val="Normal"/>
    <w:uiPriority w:val="99"/>
    <w:semiHidden/>
    <w:unhideWhenUsed/>
    <w:rsid w:val="001F1F84"/>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3A1DC0"/>
    <w:pPr>
      <w:spacing w:after="0" w:line="240" w:lineRule="auto"/>
    </w:pPr>
  </w:style>
  <w:style w:type="paragraph" w:customStyle="1" w:styleId="Default">
    <w:name w:val="Default"/>
    <w:rsid w:val="00CB106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5314">
      <w:bodyDiv w:val="1"/>
      <w:marLeft w:val="0"/>
      <w:marRight w:val="0"/>
      <w:marTop w:val="0"/>
      <w:marBottom w:val="0"/>
      <w:divBdr>
        <w:top w:val="none" w:sz="0" w:space="0" w:color="auto"/>
        <w:left w:val="none" w:sz="0" w:space="0" w:color="auto"/>
        <w:bottom w:val="none" w:sz="0" w:space="0" w:color="auto"/>
        <w:right w:val="none" w:sz="0" w:space="0" w:color="auto"/>
      </w:divBdr>
    </w:div>
    <w:div w:id="107773490">
      <w:bodyDiv w:val="1"/>
      <w:marLeft w:val="0"/>
      <w:marRight w:val="0"/>
      <w:marTop w:val="0"/>
      <w:marBottom w:val="0"/>
      <w:divBdr>
        <w:top w:val="none" w:sz="0" w:space="0" w:color="auto"/>
        <w:left w:val="none" w:sz="0" w:space="0" w:color="auto"/>
        <w:bottom w:val="none" w:sz="0" w:space="0" w:color="auto"/>
        <w:right w:val="none" w:sz="0" w:space="0" w:color="auto"/>
      </w:divBdr>
    </w:div>
    <w:div w:id="161169628">
      <w:bodyDiv w:val="1"/>
      <w:marLeft w:val="0"/>
      <w:marRight w:val="0"/>
      <w:marTop w:val="0"/>
      <w:marBottom w:val="0"/>
      <w:divBdr>
        <w:top w:val="none" w:sz="0" w:space="0" w:color="auto"/>
        <w:left w:val="none" w:sz="0" w:space="0" w:color="auto"/>
        <w:bottom w:val="none" w:sz="0" w:space="0" w:color="auto"/>
        <w:right w:val="none" w:sz="0" w:space="0" w:color="auto"/>
      </w:divBdr>
    </w:div>
    <w:div w:id="215361314">
      <w:bodyDiv w:val="1"/>
      <w:marLeft w:val="0"/>
      <w:marRight w:val="0"/>
      <w:marTop w:val="0"/>
      <w:marBottom w:val="0"/>
      <w:divBdr>
        <w:top w:val="none" w:sz="0" w:space="0" w:color="auto"/>
        <w:left w:val="none" w:sz="0" w:space="0" w:color="auto"/>
        <w:bottom w:val="none" w:sz="0" w:space="0" w:color="auto"/>
        <w:right w:val="none" w:sz="0" w:space="0" w:color="auto"/>
      </w:divBdr>
    </w:div>
    <w:div w:id="222764472">
      <w:bodyDiv w:val="1"/>
      <w:marLeft w:val="0"/>
      <w:marRight w:val="0"/>
      <w:marTop w:val="0"/>
      <w:marBottom w:val="0"/>
      <w:divBdr>
        <w:top w:val="none" w:sz="0" w:space="0" w:color="auto"/>
        <w:left w:val="none" w:sz="0" w:space="0" w:color="auto"/>
        <w:bottom w:val="none" w:sz="0" w:space="0" w:color="auto"/>
        <w:right w:val="none" w:sz="0" w:space="0" w:color="auto"/>
      </w:divBdr>
    </w:div>
    <w:div w:id="265814536">
      <w:bodyDiv w:val="1"/>
      <w:marLeft w:val="0"/>
      <w:marRight w:val="0"/>
      <w:marTop w:val="0"/>
      <w:marBottom w:val="0"/>
      <w:divBdr>
        <w:top w:val="none" w:sz="0" w:space="0" w:color="auto"/>
        <w:left w:val="none" w:sz="0" w:space="0" w:color="auto"/>
        <w:bottom w:val="none" w:sz="0" w:space="0" w:color="auto"/>
        <w:right w:val="none" w:sz="0" w:space="0" w:color="auto"/>
      </w:divBdr>
    </w:div>
    <w:div w:id="328290784">
      <w:bodyDiv w:val="1"/>
      <w:marLeft w:val="0"/>
      <w:marRight w:val="0"/>
      <w:marTop w:val="0"/>
      <w:marBottom w:val="0"/>
      <w:divBdr>
        <w:top w:val="none" w:sz="0" w:space="0" w:color="auto"/>
        <w:left w:val="none" w:sz="0" w:space="0" w:color="auto"/>
        <w:bottom w:val="none" w:sz="0" w:space="0" w:color="auto"/>
        <w:right w:val="none" w:sz="0" w:space="0" w:color="auto"/>
      </w:divBdr>
    </w:div>
    <w:div w:id="329986894">
      <w:bodyDiv w:val="1"/>
      <w:marLeft w:val="0"/>
      <w:marRight w:val="0"/>
      <w:marTop w:val="0"/>
      <w:marBottom w:val="0"/>
      <w:divBdr>
        <w:top w:val="none" w:sz="0" w:space="0" w:color="auto"/>
        <w:left w:val="none" w:sz="0" w:space="0" w:color="auto"/>
        <w:bottom w:val="none" w:sz="0" w:space="0" w:color="auto"/>
        <w:right w:val="none" w:sz="0" w:space="0" w:color="auto"/>
      </w:divBdr>
    </w:div>
    <w:div w:id="341786460">
      <w:bodyDiv w:val="1"/>
      <w:marLeft w:val="0"/>
      <w:marRight w:val="0"/>
      <w:marTop w:val="0"/>
      <w:marBottom w:val="0"/>
      <w:divBdr>
        <w:top w:val="none" w:sz="0" w:space="0" w:color="auto"/>
        <w:left w:val="none" w:sz="0" w:space="0" w:color="auto"/>
        <w:bottom w:val="none" w:sz="0" w:space="0" w:color="auto"/>
        <w:right w:val="none" w:sz="0" w:space="0" w:color="auto"/>
      </w:divBdr>
    </w:div>
    <w:div w:id="397631876">
      <w:bodyDiv w:val="1"/>
      <w:marLeft w:val="0"/>
      <w:marRight w:val="0"/>
      <w:marTop w:val="0"/>
      <w:marBottom w:val="0"/>
      <w:divBdr>
        <w:top w:val="none" w:sz="0" w:space="0" w:color="auto"/>
        <w:left w:val="none" w:sz="0" w:space="0" w:color="auto"/>
        <w:bottom w:val="none" w:sz="0" w:space="0" w:color="auto"/>
        <w:right w:val="none" w:sz="0" w:space="0" w:color="auto"/>
      </w:divBdr>
    </w:div>
    <w:div w:id="436951838">
      <w:bodyDiv w:val="1"/>
      <w:marLeft w:val="0"/>
      <w:marRight w:val="0"/>
      <w:marTop w:val="0"/>
      <w:marBottom w:val="0"/>
      <w:divBdr>
        <w:top w:val="none" w:sz="0" w:space="0" w:color="auto"/>
        <w:left w:val="none" w:sz="0" w:space="0" w:color="auto"/>
        <w:bottom w:val="none" w:sz="0" w:space="0" w:color="auto"/>
        <w:right w:val="none" w:sz="0" w:space="0" w:color="auto"/>
      </w:divBdr>
    </w:div>
    <w:div w:id="454059136">
      <w:bodyDiv w:val="1"/>
      <w:marLeft w:val="0"/>
      <w:marRight w:val="0"/>
      <w:marTop w:val="0"/>
      <w:marBottom w:val="0"/>
      <w:divBdr>
        <w:top w:val="none" w:sz="0" w:space="0" w:color="auto"/>
        <w:left w:val="none" w:sz="0" w:space="0" w:color="auto"/>
        <w:bottom w:val="none" w:sz="0" w:space="0" w:color="auto"/>
        <w:right w:val="none" w:sz="0" w:space="0" w:color="auto"/>
      </w:divBdr>
      <w:divsChild>
        <w:div w:id="1199512558">
          <w:marLeft w:val="0"/>
          <w:marRight w:val="0"/>
          <w:marTop w:val="0"/>
          <w:marBottom w:val="0"/>
          <w:divBdr>
            <w:top w:val="none" w:sz="0" w:space="0" w:color="auto"/>
            <w:left w:val="none" w:sz="0" w:space="0" w:color="auto"/>
            <w:bottom w:val="none" w:sz="0" w:space="0" w:color="auto"/>
            <w:right w:val="none" w:sz="0" w:space="0" w:color="auto"/>
          </w:divBdr>
          <w:divsChild>
            <w:div w:id="18468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37465">
      <w:bodyDiv w:val="1"/>
      <w:marLeft w:val="0"/>
      <w:marRight w:val="0"/>
      <w:marTop w:val="0"/>
      <w:marBottom w:val="0"/>
      <w:divBdr>
        <w:top w:val="none" w:sz="0" w:space="0" w:color="auto"/>
        <w:left w:val="none" w:sz="0" w:space="0" w:color="auto"/>
        <w:bottom w:val="none" w:sz="0" w:space="0" w:color="auto"/>
        <w:right w:val="none" w:sz="0" w:space="0" w:color="auto"/>
      </w:divBdr>
    </w:div>
    <w:div w:id="548494654">
      <w:bodyDiv w:val="1"/>
      <w:marLeft w:val="0"/>
      <w:marRight w:val="0"/>
      <w:marTop w:val="0"/>
      <w:marBottom w:val="0"/>
      <w:divBdr>
        <w:top w:val="none" w:sz="0" w:space="0" w:color="auto"/>
        <w:left w:val="none" w:sz="0" w:space="0" w:color="auto"/>
        <w:bottom w:val="none" w:sz="0" w:space="0" w:color="auto"/>
        <w:right w:val="none" w:sz="0" w:space="0" w:color="auto"/>
      </w:divBdr>
    </w:div>
    <w:div w:id="614095196">
      <w:bodyDiv w:val="1"/>
      <w:marLeft w:val="0"/>
      <w:marRight w:val="0"/>
      <w:marTop w:val="0"/>
      <w:marBottom w:val="0"/>
      <w:divBdr>
        <w:top w:val="none" w:sz="0" w:space="0" w:color="auto"/>
        <w:left w:val="none" w:sz="0" w:space="0" w:color="auto"/>
        <w:bottom w:val="none" w:sz="0" w:space="0" w:color="auto"/>
        <w:right w:val="none" w:sz="0" w:space="0" w:color="auto"/>
      </w:divBdr>
    </w:div>
    <w:div w:id="651762499">
      <w:bodyDiv w:val="1"/>
      <w:marLeft w:val="0"/>
      <w:marRight w:val="0"/>
      <w:marTop w:val="0"/>
      <w:marBottom w:val="0"/>
      <w:divBdr>
        <w:top w:val="none" w:sz="0" w:space="0" w:color="auto"/>
        <w:left w:val="none" w:sz="0" w:space="0" w:color="auto"/>
        <w:bottom w:val="none" w:sz="0" w:space="0" w:color="auto"/>
        <w:right w:val="none" w:sz="0" w:space="0" w:color="auto"/>
      </w:divBdr>
    </w:div>
    <w:div w:id="662510293">
      <w:bodyDiv w:val="1"/>
      <w:marLeft w:val="0"/>
      <w:marRight w:val="0"/>
      <w:marTop w:val="0"/>
      <w:marBottom w:val="0"/>
      <w:divBdr>
        <w:top w:val="none" w:sz="0" w:space="0" w:color="auto"/>
        <w:left w:val="none" w:sz="0" w:space="0" w:color="auto"/>
        <w:bottom w:val="none" w:sz="0" w:space="0" w:color="auto"/>
        <w:right w:val="none" w:sz="0" w:space="0" w:color="auto"/>
      </w:divBdr>
    </w:div>
    <w:div w:id="681468471">
      <w:bodyDiv w:val="1"/>
      <w:marLeft w:val="0"/>
      <w:marRight w:val="0"/>
      <w:marTop w:val="0"/>
      <w:marBottom w:val="0"/>
      <w:divBdr>
        <w:top w:val="none" w:sz="0" w:space="0" w:color="auto"/>
        <w:left w:val="none" w:sz="0" w:space="0" w:color="auto"/>
        <w:bottom w:val="none" w:sz="0" w:space="0" w:color="auto"/>
        <w:right w:val="none" w:sz="0" w:space="0" w:color="auto"/>
      </w:divBdr>
    </w:div>
    <w:div w:id="727581480">
      <w:bodyDiv w:val="1"/>
      <w:marLeft w:val="0"/>
      <w:marRight w:val="0"/>
      <w:marTop w:val="0"/>
      <w:marBottom w:val="0"/>
      <w:divBdr>
        <w:top w:val="none" w:sz="0" w:space="0" w:color="auto"/>
        <w:left w:val="none" w:sz="0" w:space="0" w:color="auto"/>
        <w:bottom w:val="none" w:sz="0" w:space="0" w:color="auto"/>
        <w:right w:val="none" w:sz="0" w:space="0" w:color="auto"/>
      </w:divBdr>
    </w:div>
    <w:div w:id="829176277">
      <w:bodyDiv w:val="1"/>
      <w:marLeft w:val="0"/>
      <w:marRight w:val="0"/>
      <w:marTop w:val="0"/>
      <w:marBottom w:val="0"/>
      <w:divBdr>
        <w:top w:val="none" w:sz="0" w:space="0" w:color="auto"/>
        <w:left w:val="none" w:sz="0" w:space="0" w:color="auto"/>
        <w:bottom w:val="none" w:sz="0" w:space="0" w:color="auto"/>
        <w:right w:val="none" w:sz="0" w:space="0" w:color="auto"/>
      </w:divBdr>
    </w:div>
    <w:div w:id="852885818">
      <w:bodyDiv w:val="1"/>
      <w:marLeft w:val="0"/>
      <w:marRight w:val="0"/>
      <w:marTop w:val="0"/>
      <w:marBottom w:val="0"/>
      <w:divBdr>
        <w:top w:val="none" w:sz="0" w:space="0" w:color="auto"/>
        <w:left w:val="none" w:sz="0" w:space="0" w:color="auto"/>
        <w:bottom w:val="none" w:sz="0" w:space="0" w:color="auto"/>
        <w:right w:val="none" w:sz="0" w:space="0" w:color="auto"/>
      </w:divBdr>
    </w:div>
    <w:div w:id="875385518">
      <w:bodyDiv w:val="1"/>
      <w:marLeft w:val="0"/>
      <w:marRight w:val="0"/>
      <w:marTop w:val="0"/>
      <w:marBottom w:val="0"/>
      <w:divBdr>
        <w:top w:val="none" w:sz="0" w:space="0" w:color="auto"/>
        <w:left w:val="none" w:sz="0" w:space="0" w:color="auto"/>
        <w:bottom w:val="none" w:sz="0" w:space="0" w:color="auto"/>
        <w:right w:val="none" w:sz="0" w:space="0" w:color="auto"/>
      </w:divBdr>
    </w:div>
    <w:div w:id="1030297969">
      <w:bodyDiv w:val="1"/>
      <w:marLeft w:val="0"/>
      <w:marRight w:val="0"/>
      <w:marTop w:val="0"/>
      <w:marBottom w:val="0"/>
      <w:divBdr>
        <w:top w:val="none" w:sz="0" w:space="0" w:color="auto"/>
        <w:left w:val="none" w:sz="0" w:space="0" w:color="auto"/>
        <w:bottom w:val="none" w:sz="0" w:space="0" w:color="auto"/>
        <w:right w:val="none" w:sz="0" w:space="0" w:color="auto"/>
      </w:divBdr>
    </w:div>
    <w:div w:id="1080063324">
      <w:bodyDiv w:val="1"/>
      <w:marLeft w:val="0"/>
      <w:marRight w:val="0"/>
      <w:marTop w:val="0"/>
      <w:marBottom w:val="0"/>
      <w:divBdr>
        <w:top w:val="none" w:sz="0" w:space="0" w:color="auto"/>
        <w:left w:val="none" w:sz="0" w:space="0" w:color="auto"/>
        <w:bottom w:val="none" w:sz="0" w:space="0" w:color="auto"/>
        <w:right w:val="none" w:sz="0" w:space="0" w:color="auto"/>
      </w:divBdr>
    </w:div>
    <w:div w:id="1175337090">
      <w:bodyDiv w:val="1"/>
      <w:marLeft w:val="0"/>
      <w:marRight w:val="0"/>
      <w:marTop w:val="0"/>
      <w:marBottom w:val="0"/>
      <w:divBdr>
        <w:top w:val="none" w:sz="0" w:space="0" w:color="auto"/>
        <w:left w:val="none" w:sz="0" w:space="0" w:color="auto"/>
        <w:bottom w:val="none" w:sz="0" w:space="0" w:color="auto"/>
        <w:right w:val="none" w:sz="0" w:space="0" w:color="auto"/>
      </w:divBdr>
    </w:div>
    <w:div w:id="1202396635">
      <w:bodyDiv w:val="1"/>
      <w:marLeft w:val="0"/>
      <w:marRight w:val="0"/>
      <w:marTop w:val="0"/>
      <w:marBottom w:val="0"/>
      <w:divBdr>
        <w:top w:val="none" w:sz="0" w:space="0" w:color="auto"/>
        <w:left w:val="none" w:sz="0" w:space="0" w:color="auto"/>
        <w:bottom w:val="none" w:sz="0" w:space="0" w:color="auto"/>
        <w:right w:val="none" w:sz="0" w:space="0" w:color="auto"/>
      </w:divBdr>
    </w:div>
    <w:div w:id="1215964283">
      <w:bodyDiv w:val="1"/>
      <w:marLeft w:val="0"/>
      <w:marRight w:val="0"/>
      <w:marTop w:val="0"/>
      <w:marBottom w:val="0"/>
      <w:divBdr>
        <w:top w:val="none" w:sz="0" w:space="0" w:color="auto"/>
        <w:left w:val="none" w:sz="0" w:space="0" w:color="auto"/>
        <w:bottom w:val="none" w:sz="0" w:space="0" w:color="auto"/>
        <w:right w:val="none" w:sz="0" w:space="0" w:color="auto"/>
      </w:divBdr>
    </w:div>
    <w:div w:id="1345477506">
      <w:bodyDiv w:val="1"/>
      <w:marLeft w:val="0"/>
      <w:marRight w:val="0"/>
      <w:marTop w:val="0"/>
      <w:marBottom w:val="0"/>
      <w:divBdr>
        <w:top w:val="none" w:sz="0" w:space="0" w:color="auto"/>
        <w:left w:val="none" w:sz="0" w:space="0" w:color="auto"/>
        <w:bottom w:val="none" w:sz="0" w:space="0" w:color="auto"/>
        <w:right w:val="none" w:sz="0" w:space="0" w:color="auto"/>
      </w:divBdr>
    </w:div>
    <w:div w:id="1359307521">
      <w:bodyDiv w:val="1"/>
      <w:marLeft w:val="0"/>
      <w:marRight w:val="0"/>
      <w:marTop w:val="0"/>
      <w:marBottom w:val="0"/>
      <w:divBdr>
        <w:top w:val="none" w:sz="0" w:space="0" w:color="auto"/>
        <w:left w:val="none" w:sz="0" w:space="0" w:color="auto"/>
        <w:bottom w:val="none" w:sz="0" w:space="0" w:color="auto"/>
        <w:right w:val="none" w:sz="0" w:space="0" w:color="auto"/>
      </w:divBdr>
    </w:div>
    <w:div w:id="1450930811">
      <w:bodyDiv w:val="1"/>
      <w:marLeft w:val="0"/>
      <w:marRight w:val="0"/>
      <w:marTop w:val="0"/>
      <w:marBottom w:val="0"/>
      <w:divBdr>
        <w:top w:val="none" w:sz="0" w:space="0" w:color="auto"/>
        <w:left w:val="none" w:sz="0" w:space="0" w:color="auto"/>
        <w:bottom w:val="none" w:sz="0" w:space="0" w:color="auto"/>
        <w:right w:val="none" w:sz="0" w:space="0" w:color="auto"/>
      </w:divBdr>
      <w:divsChild>
        <w:div w:id="555707695">
          <w:marLeft w:val="0"/>
          <w:marRight w:val="0"/>
          <w:marTop w:val="0"/>
          <w:marBottom w:val="0"/>
          <w:divBdr>
            <w:top w:val="none" w:sz="0" w:space="0" w:color="auto"/>
            <w:left w:val="none" w:sz="0" w:space="0" w:color="auto"/>
            <w:bottom w:val="none" w:sz="0" w:space="0" w:color="auto"/>
            <w:right w:val="none" w:sz="0" w:space="0" w:color="auto"/>
          </w:divBdr>
          <w:divsChild>
            <w:div w:id="58669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287533">
      <w:bodyDiv w:val="1"/>
      <w:marLeft w:val="0"/>
      <w:marRight w:val="0"/>
      <w:marTop w:val="0"/>
      <w:marBottom w:val="0"/>
      <w:divBdr>
        <w:top w:val="none" w:sz="0" w:space="0" w:color="auto"/>
        <w:left w:val="none" w:sz="0" w:space="0" w:color="auto"/>
        <w:bottom w:val="none" w:sz="0" w:space="0" w:color="auto"/>
        <w:right w:val="none" w:sz="0" w:space="0" w:color="auto"/>
      </w:divBdr>
      <w:divsChild>
        <w:div w:id="1260747950">
          <w:marLeft w:val="0"/>
          <w:marRight w:val="0"/>
          <w:marTop w:val="0"/>
          <w:marBottom w:val="0"/>
          <w:divBdr>
            <w:top w:val="none" w:sz="0" w:space="0" w:color="auto"/>
            <w:left w:val="none" w:sz="0" w:space="0" w:color="auto"/>
            <w:bottom w:val="none" w:sz="0" w:space="0" w:color="auto"/>
            <w:right w:val="none" w:sz="0" w:space="0" w:color="auto"/>
          </w:divBdr>
          <w:divsChild>
            <w:div w:id="58919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815129">
      <w:bodyDiv w:val="1"/>
      <w:marLeft w:val="0"/>
      <w:marRight w:val="0"/>
      <w:marTop w:val="0"/>
      <w:marBottom w:val="0"/>
      <w:divBdr>
        <w:top w:val="none" w:sz="0" w:space="0" w:color="auto"/>
        <w:left w:val="none" w:sz="0" w:space="0" w:color="auto"/>
        <w:bottom w:val="none" w:sz="0" w:space="0" w:color="auto"/>
        <w:right w:val="none" w:sz="0" w:space="0" w:color="auto"/>
      </w:divBdr>
    </w:div>
    <w:div w:id="1661808951">
      <w:bodyDiv w:val="1"/>
      <w:marLeft w:val="0"/>
      <w:marRight w:val="0"/>
      <w:marTop w:val="0"/>
      <w:marBottom w:val="0"/>
      <w:divBdr>
        <w:top w:val="none" w:sz="0" w:space="0" w:color="auto"/>
        <w:left w:val="none" w:sz="0" w:space="0" w:color="auto"/>
        <w:bottom w:val="none" w:sz="0" w:space="0" w:color="auto"/>
        <w:right w:val="none" w:sz="0" w:space="0" w:color="auto"/>
      </w:divBdr>
    </w:div>
    <w:div w:id="1725062248">
      <w:bodyDiv w:val="1"/>
      <w:marLeft w:val="0"/>
      <w:marRight w:val="0"/>
      <w:marTop w:val="0"/>
      <w:marBottom w:val="0"/>
      <w:divBdr>
        <w:top w:val="none" w:sz="0" w:space="0" w:color="auto"/>
        <w:left w:val="none" w:sz="0" w:space="0" w:color="auto"/>
        <w:bottom w:val="none" w:sz="0" w:space="0" w:color="auto"/>
        <w:right w:val="none" w:sz="0" w:space="0" w:color="auto"/>
      </w:divBdr>
    </w:div>
    <w:div w:id="1763181927">
      <w:bodyDiv w:val="1"/>
      <w:marLeft w:val="0"/>
      <w:marRight w:val="0"/>
      <w:marTop w:val="0"/>
      <w:marBottom w:val="0"/>
      <w:divBdr>
        <w:top w:val="none" w:sz="0" w:space="0" w:color="auto"/>
        <w:left w:val="none" w:sz="0" w:space="0" w:color="auto"/>
        <w:bottom w:val="none" w:sz="0" w:space="0" w:color="auto"/>
        <w:right w:val="none" w:sz="0" w:space="0" w:color="auto"/>
      </w:divBdr>
    </w:div>
    <w:div w:id="1851338292">
      <w:bodyDiv w:val="1"/>
      <w:marLeft w:val="0"/>
      <w:marRight w:val="0"/>
      <w:marTop w:val="0"/>
      <w:marBottom w:val="0"/>
      <w:divBdr>
        <w:top w:val="none" w:sz="0" w:space="0" w:color="auto"/>
        <w:left w:val="none" w:sz="0" w:space="0" w:color="auto"/>
        <w:bottom w:val="none" w:sz="0" w:space="0" w:color="auto"/>
        <w:right w:val="none" w:sz="0" w:space="0" w:color="auto"/>
      </w:divBdr>
    </w:div>
    <w:div w:id="1915698856">
      <w:bodyDiv w:val="1"/>
      <w:marLeft w:val="0"/>
      <w:marRight w:val="0"/>
      <w:marTop w:val="0"/>
      <w:marBottom w:val="0"/>
      <w:divBdr>
        <w:top w:val="none" w:sz="0" w:space="0" w:color="auto"/>
        <w:left w:val="none" w:sz="0" w:space="0" w:color="auto"/>
        <w:bottom w:val="none" w:sz="0" w:space="0" w:color="auto"/>
        <w:right w:val="none" w:sz="0" w:space="0" w:color="auto"/>
      </w:divBdr>
    </w:div>
    <w:div w:id="2021617261">
      <w:bodyDiv w:val="1"/>
      <w:marLeft w:val="0"/>
      <w:marRight w:val="0"/>
      <w:marTop w:val="0"/>
      <w:marBottom w:val="0"/>
      <w:divBdr>
        <w:top w:val="none" w:sz="0" w:space="0" w:color="auto"/>
        <w:left w:val="none" w:sz="0" w:space="0" w:color="auto"/>
        <w:bottom w:val="none" w:sz="0" w:space="0" w:color="auto"/>
        <w:right w:val="none" w:sz="0" w:space="0" w:color="auto"/>
      </w:divBdr>
    </w:div>
    <w:div w:id="209813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E6E03-D275-4C1E-8EE2-FCAFF815A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2089</TotalTime>
  <Pages>2</Pages>
  <Words>707</Words>
  <Characters>4035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Studdard</dc:creator>
  <cp:keywords/>
  <dc:description/>
  <cp:lastModifiedBy>Mark Bonnett</cp:lastModifiedBy>
  <cp:revision>99</cp:revision>
  <dcterms:created xsi:type="dcterms:W3CDTF">2023-10-27T17:15:00Z</dcterms:created>
  <dcterms:modified xsi:type="dcterms:W3CDTF">2026-03-24T17:24:00Z</dcterms:modified>
</cp:coreProperties>
</file>