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F0C817" w14:textId="7FB5E074"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La Junta Estatal de Odontólogos (Junta) propone esta enmienda a la regla 22 TAC §114.6, relativa a las calificaciones generales para el registro o la certificación como asistente odontológico.</w:t>
      </w:r>
      <w:r>
        <w:rPr>
          <w:sz w:val="24"/>
          <w:rFonts w:ascii="Times New Roman" w:hAnsi="Times New Roman"/>
        </w:rPr>
        <w:t xml:space="preserve"> </w:t>
      </w:r>
      <w:r>
        <w:rPr>
          <w:sz w:val="24"/>
          <w:rFonts w:ascii="Times New Roman" w:hAnsi="Times New Roman"/>
        </w:rPr>
        <w:t xml:space="preserve">La enmienda propuesta requiere ciertos documentos de identificación personal que un solicitante debe presentar en una solicitud inicial y solicitud de renovación de registro o certificación como asistente odontológico.</w:t>
      </w:r>
      <w:r>
        <w:rPr>
          <w:sz w:val="24"/>
          <w:rFonts w:ascii="Times New Roman" w:hAnsi="Times New Roman"/>
        </w:rPr>
        <w:t xml:space="preserve"> </w:t>
      </w:r>
      <w:r>
        <w:rPr>
          <w:sz w:val="24"/>
          <w:rFonts w:ascii="Times New Roman" w:hAnsi="Times New Roman"/>
        </w:rPr>
        <w:t xml:space="preserve">La enmienda propuesta es necesaria para garantizar que el documento de identificación personal del solicitante sea válido y que el solicitante sea legalmente elegible para ejercer en Texas.</w:t>
      </w:r>
      <w:r>
        <w:rPr>
          <w:sz w:val="24"/>
          <w:rFonts w:ascii="Times New Roman" w:hAnsi="Times New Roman"/>
        </w:rPr>
        <w:t xml:space="preserve"> </w:t>
      </w:r>
      <w:r>
        <w:rPr>
          <w:sz w:val="24"/>
          <w:rFonts w:ascii="Times New Roman" w:hAnsi="Times New Roman"/>
        </w:rPr>
        <w:t xml:space="preserve">La enmienda propuesta requeriría que los solicitantes presenten documentación apropiada que verifique su presencia legal y autorización de trabajo antes de que se emita un registro o certificación.</w:t>
      </w:r>
      <w:r>
        <w:rPr>
          <w:sz w:val="24"/>
          <w:rFonts w:ascii="Times New Roman" w:hAnsi="Times New Roman"/>
        </w:rPr>
        <w:t xml:space="preserve"> </w:t>
      </w:r>
      <w:r>
        <w:rPr>
          <w:sz w:val="24"/>
          <w:rFonts w:ascii="Times New Roman" w:hAnsi="Times New Roman"/>
        </w:rPr>
        <w:t xml:space="preserve">La enmienda propuesta también corrige errores gramaticales.</w:t>
      </w:r>
      <w:r>
        <w:rPr>
          <w:sz w:val="24"/>
          <w:rFonts w:ascii="Times New Roman" w:hAnsi="Times New Roman"/>
        </w:rPr>
        <w:t xml:space="preserve"> </w:t>
      </w:r>
    </w:p>
    <w:p w14:paraId="74713DCE" w14:textId="77777777" w:rsidR="00994435" w:rsidRPr="002B24D6" w:rsidRDefault="00994435" w:rsidP="00527E13">
      <w:pPr>
        <w:spacing w:after="0" w:line="240" w:lineRule="auto"/>
        <w:jc w:val="both"/>
        <w:rPr>
          <w:rFonts w:ascii="Times New Roman" w:eastAsia="Times New Roman" w:hAnsi="Times New Roman" w:cs="Times New Roman"/>
          <w:sz w:val="24"/>
          <w:szCs w:val="24"/>
        </w:rPr>
      </w:pPr>
    </w:p>
    <w:p w14:paraId="0AB0F6FA" w14:textId="77777777"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NOTA FISCAL:</w:t>
      </w:r>
      <w:r>
        <w:rPr>
          <w:sz w:val="24"/>
          <w:rFonts w:ascii="Times New Roman" w:hAnsi="Times New Roman"/>
        </w:rPr>
        <w:t xml:space="preserve"> </w:t>
      </w:r>
      <w:r>
        <w:rPr>
          <w:sz w:val="24"/>
          <w:rFonts w:ascii="Times New Roman" w:hAnsi="Times New Roman"/>
        </w:rPr>
        <w:t xml:space="preserve">Casey Nichols, Directora Ejecutiva, ha determinado que en el primer período de cinco años en que esté vigente la regla propuesta, la regla propuesta no tenga implicancias previsibles relativas a costos o rentas de los gobiernos estatal o local.</w:t>
      </w:r>
      <w:r>
        <w:rPr>
          <w:sz w:val="24"/>
          <w:rFonts w:ascii="Times New Roman" w:hAnsi="Times New Roman"/>
        </w:rPr>
        <w:t xml:space="preserve"> </w:t>
      </w:r>
    </w:p>
    <w:p w14:paraId="6C2633E0" w14:textId="77777777" w:rsidR="00994435" w:rsidRPr="002B24D6" w:rsidRDefault="00994435" w:rsidP="00527E13">
      <w:pPr>
        <w:spacing w:after="0" w:line="240" w:lineRule="auto"/>
        <w:jc w:val="both"/>
        <w:rPr>
          <w:rFonts w:ascii="Times New Roman" w:eastAsia="Times New Roman" w:hAnsi="Times New Roman" w:cs="Times New Roman"/>
          <w:sz w:val="24"/>
          <w:szCs w:val="24"/>
        </w:rPr>
      </w:pPr>
    </w:p>
    <w:p w14:paraId="04786DA3" w14:textId="10B36AA9"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NOTA PÚBLICA DE COSTOS Y BENEFICIOS:</w:t>
      </w:r>
      <w:r>
        <w:rPr>
          <w:sz w:val="24"/>
          <w:rFonts w:ascii="Times New Roman" w:hAnsi="Times New Roman"/>
        </w:rPr>
        <w:t xml:space="preserve"> </w:t>
      </w:r>
      <w:r>
        <w:rPr>
          <w:sz w:val="24"/>
          <w:rFonts w:ascii="Times New Roman" w:hAnsi="Times New Roman"/>
        </w:rPr>
        <w:t xml:space="preserve">Casey Nichols también ha determinado que para el primer período de cinco años en que la regla propuesta esté vigente, el beneficio público esperado como resultado de la regla propuesta será una reducción en el riesgo de fraude en solicitudes de licencia, y la garantía de que ningún licenciatario esté ejerciendo la odontología en Texas sin autorización legal para trabajar o residir en Texas.</w:t>
      </w:r>
    </w:p>
    <w:p w14:paraId="5C1110DD" w14:textId="77777777" w:rsidR="00365011" w:rsidRPr="002B24D6" w:rsidRDefault="00365011" w:rsidP="00527E13">
      <w:pPr>
        <w:spacing w:after="0" w:line="240" w:lineRule="auto"/>
        <w:jc w:val="both"/>
        <w:rPr>
          <w:rFonts w:ascii="Times New Roman" w:eastAsia="Times New Roman" w:hAnsi="Times New Roman" w:cs="Times New Roman"/>
          <w:sz w:val="24"/>
          <w:szCs w:val="24"/>
        </w:rPr>
      </w:pPr>
    </w:p>
    <w:p w14:paraId="1B12B952" w14:textId="77777777"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DECLARACIÓN DE IMPACTO SOBRE EL EMPLEO LOCAL:</w:t>
      </w:r>
      <w:r>
        <w:rPr>
          <w:sz w:val="24"/>
          <w:rFonts w:ascii="Times New Roman" w:hAnsi="Times New Roman"/>
        </w:rPr>
        <w:t xml:space="preserve"> </w:t>
      </w:r>
      <w:r>
        <w:rPr>
          <w:sz w:val="24"/>
          <w:rFonts w:ascii="Times New Roman" w:hAnsi="Times New Roman"/>
        </w:rPr>
        <w:t xml:space="preserve">Casey Nichols también ha determinado que la regla propuesta no afecta las economías y el empleo locales.</w:t>
      </w:r>
      <w:r>
        <w:rPr>
          <w:sz w:val="24"/>
          <w:rFonts w:ascii="Times New Roman" w:hAnsi="Times New Roman"/>
        </w:rPr>
        <w:t xml:space="preserve"> </w:t>
      </w:r>
    </w:p>
    <w:p w14:paraId="385C2D9F"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434EF465" w14:textId="77777777"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DECLARACIÓN DE IMPACTO SOBRE LAS PEQUEÑAS Y MICRO EMPRESAS Y LA COMUNIDAD RURAL:</w:t>
      </w:r>
      <w:r>
        <w:rPr>
          <w:sz w:val="24"/>
          <w:rFonts w:ascii="Times New Roman" w:hAnsi="Times New Roman"/>
        </w:rPr>
        <w:t xml:space="preserve"> </w:t>
      </w:r>
      <w:r>
        <w:rPr>
          <w:sz w:val="24"/>
          <w:rFonts w:ascii="Times New Roman" w:hAnsi="Times New Roman"/>
        </w:rPr>
        <w:t xml:space="preserve">Casey Nichols ha determinado que no se requiere una declaración de impacto económico y análisis de flexibilidad normativa para pequeñas empresas, microempresas y comunidades rurales para esta regla propuesta.</w:t>
      </w:r>
      <w:r>
        <w:rPr>
          <w:sz w:val="24"/>
          <w:rFonts w:ascii="Times New Roman" w:hAnsi="Times New Roman"/>
        </w:rPr>
        <w:t xml:space="preserve"> </w:t>
      </w:r>
    </w:p>
    <w:p w14:paraId="4702930B"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48CFEA5B" w14:textId="654F38A2"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DECLARACIÓN DE IMPACTO SOBRE EL CRECIMIENTO DEL GOBIERNO:</w:t>
      </w:r>
      <w:r>
        <w:rPr>
          <w:sz w:val="24"/>
          <w:rFonts w:ascii="Times New Roman" w:hAnsi="Times New Roman"/>
        </w:rPr>
        <w:t xml:space="preserve"> </w:t>
      </w:r>
      <w:r>
        <w:rPr>
          <w:sz w:val="24"/>
          <w:rFonts w:ascii="Times New Roman" w:hAnsi="Times New Roman"/>
        </w:rPr>
        <w:t xml:space="preserve">La Junta ha determinado que, durante el primer período de cinco años en que esté vigente la regla, se aplicarían los siguientes efectos sobre el crecimiento gubernamental:</w:t>
      </w:r>
      <w:r>
        <w:rPr>
          <w:sz w:val="24"/>
          <w:rFonts w:ascii="Times New Roman" w:hAnsi="Times New Roman"/>
        </w:rPr>
        <w:t xml:space="preserve"> </w:t>
      </w:r>
      <w:r>
        <w:rPr>
          <w:sz w:val="24"/>
          <w:rFonts w:ascii="Times New Roman" w:hAnsi="Times New Roman"/>
        </w:rPr>
        <w:t xml:space="preserve">(1) la regla propuesta no crea ni elimina un programa gubernamental; (2) la aplicación de la regla propuesta no requiere la creación o eliminación de puestos de empleados; (3) la aplicación de la regla propuesta no requiere un aumento o disminución de las apropiaciones futuras; (4) la regla propuesta no requiere un aumento de las tasas pagadas a la agencia; (5) la regla propuesta crea un nuevo reglamento; (6) la regla propuesta no limita un reglamento existente; (7) la regla propuesta no aumenta ni disminuye el número de personas sujetas a ella; y (8) la regla propuesta no afecta positiva o negativamente a la economía del estado.</w:t>
      </w:r>
      <w:r>
        <w:rPr>
          <w:sz w:val="24"/>
          <w:rFonts w:ascii="Times New Roman" w:hAnsi="Times New Roman"/>
        </w:rPr>
        <w:t xml:space="preserve"> </w:t>
      </w:r>
    </w:p>
    <w:p w14:paraId="6B5E8B55"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251439C3" w14:textId="77777777"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Registro de Texas.</w:t>
      </w:r>
      <w:r>
        <w:rPr>
          <w:sz w:val="24"/>
          <w:rFonts w:ascii="Times New Roman" w:hAnsi="Times New Roman"/>
        </w:rPr>
        <w:t xml:space="preserve"> </w:t>
      </w:r>
      <w:r>
        <w:rPr>
          <w:sz w:val="24"/>
          <w:rFonts w:ascii="Times New Roman" w:hAnsi="Times New Roman"/>
        </w:rPr>
        <w:t xml:space="preserve">Para que se tenga en cuenta a fines de esta creación de reglas, los comentarios deben:</w:t>
      </w:r>
      <w:r>
        <w:rPr>
          <w:sz w:val="24"/>
          <w:rFonts w:ascii="Times New Roman" w:hAnsi="Times New Roman"/>
        </w:rPr>
        <w:t xml:space="preserve"> </w:t>
      </w:r>
      <w:r>
        <w:rPr>
          <w:sz w:val="24"/>
          <w:rFonts w:ascii="Times New Roman" w:hAnsi="Times New Roman"/>
        </w:rPr>
        <w:t xml:space="preserve">(1) tener sello postal o enviarse antes del último día del período de comentarios; o (2) enviarse por fax o correo electrónico antes de la medianoche del último día del período de comentarios.</w:t>
      </w:r>
      <w:r>
        <w:rPr>
          <w:sz w:val="24"/>
          <w:rFonts w:ascii="Times New Roman" w:hAnsi="Times New Roman"/>
        </w:rPr>
        <w:t xml:space="preserve"> </w:t>
      </w:r>
    </w:p>
    <w:p w14:paraId="13F8A750"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453767C0" w14:textId="77777777"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Esta regla se propone conforme al Artículo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w:t>
      </w:r>
    </w:p>
    <w:p w14:paraId="0E954620" w14:textId="24F1EED1" w:rsidR="0047191D" w:rsidRPr="002B24D6" w:rsidRDefault="0047191D"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Referencia cruzada con la ley:</w:t>
      </w:r>
      <w:r>
        <w:rPr>
          <w:sz w:val="24"/>
          <w:rFonts w:ascii="Times New Roman" w:hAnsi="Times New Roman"/>
        </w:rPr>
        <w:t xml:space="preserve"> </w:t>
      </w:r>
      <w:r>
        <w:rPr>
          <w:sz w:val="24"/>
          <w:rFonts w:ascii="Times New Roman" w:hAnsi="Times New Roman"/>
        </w:rPr>
        <w:t xml:space="preserve">Código de Ocupaciones de Texas, Art. 254.001(a).</w:t>
      </w:r>
      <w:r>
        <w:rPr>
          <w:sz w:val="24"/>
          <w:rFonts w:ascii="Times New Roman" w:hAnsi="Times New Roman"/>
        </w:rPr>
        <w:t xml:space="preserve"> </w:t>
      </w:r>
      <w:r>
        <w:rPr>
          <w:sz w:val="24"/>
          <w:rFonts w:ascii="Times New Roman" w:hAnsi="Times New Roman"/>
        </w:rPr>
        <w:t xml:space="preserve">Título 8, Art. 1621 del Código de Estados Unidos.</w:t>
      </w:r>
      <w:r>
        <w:rPr>
          <w:sz w:val="24"/>
          <w:rFonts w:ascii="Times New Roman" w:hAnsi="Times New Roman"/>
        </w:rPr>
        <w:t xml:space="preserve"> </w:t>
      </w:r>
    </w:p>
    <w:p w14:paraId="41ABBA67"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741AE658" w14:textId="77777777"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Los asesores legales de la Junta han revisado la regla propuesta y determinado que su adopción se encuentra dentro de la autoridad de la Junta.</w:t>
      </w:r>
      <w:r>
        <w:rPr>
          <w:sz w:val="24"/>
          <w:rFonts w:ascii="Times New Roman" w:hAnsi="Times New Roman"/>
        </w:rPr>
        <w:t xml:space="preserve"> </w:t>
      </w:r>
    </w:p>
    <w:p w14:paraId="4703B182"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4F927BB8" w14:textId="1377188C"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&lt;regla&gt;</w:t>
      </w:r>
    </w:p>
    <w:p w14:paraId="5FB51775" w14:textId="77777777" w:rsidR="002B24D6" w:rsidRDefault="002B24D6" w:rsidP="00527E13">
      <w:pPr>
        <w:spacing w:after="0" w:line="240" w:lineRule="auto"/>
        <w:jc w:val="both"/>
        <w:rPr>
          <w:rFonts w:ascii="Times New Roman" w:eastAsia="Times New Roman" w:hAnsi="Times New Roman" w:cs="Times New Roman"/>
          <w:sz w:val="24"/>
          <w:szCs w:val="24"/>
        </w:rPr>
      </w:pPr>
    </w:p>
    <w:p w14:paraId="62D6448B" w14:textId="68A5A2CA" w:rsidR="00C96851" w:rsidRDefault="00465BBD"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§114.6.</w:t>
      </w:r>
      <w:r>
        <w:rPr>
          <w:sz w:val="24"/>
          <w:rFonts w:ascii="Times New Roman" w:hAnsi="Times New Roman"/>
        </w:rPr>
        <w:t xml:space="preserve"> </w:t>
      </w:r>
      <w:r>
        <w:rPr>
          <w:sz w:val="24"/>
          <w:color w:val="222222"/>
          <w:shd w:val="clear" w:color="auto" w:fill="FFFFFF"/>
          <w:rFonts w:ascii="Times New Roman" w:hAnsi="Times New Roman"/>
        </w:rPr>
        <w:t xml:space="preserve">Calificaciones generales para el registro o la certificación</w:t>
      </w:r>
      <w:r>
        <w:rPr>
          <w:sz w:val="24"/>
          <w:rFonts w:ascii="Times New Roman" w:hAnsi="Times New Roman"/>
        </w:rPr>
        <w:t xml:space="preserve">.</w:t>
      </w:r>
    </w:p>
    <w:p w14:paraId="73B04CEF" w14:textId="77777777" w:rsidR="0052741D" w:rsidRPr="00B357C2" w:rsidRDefault="0052741D" w:rsidP="00527E13">
      <w:pPr>
        <w:spacing w:after="0" w:line="240" w:lineRule="auto"/>
        <w:jc w:val="both"/>
        <w:rPr>
          <w:rFonts w:ascii="Times New Roman" w:eastAsia="Times New Roman" w:hAnsi="Times New Roman" w:cs="Times New Roman"/>
          <w:sz w:val="24"/>
          <w:szCs w:val="24"/>
        </w:rPr>
      </w:pPr>
    </w:p>
    <w:p w14:paraId="011E7532" w14:textId="77777777" w:rsidR="00AA2C78" w:rsidRPr="00AA2C78" w:rsidRDefault="00AA2C78" w:rsidP="00AA2C78">
      <w:pPr>
        <w:jc w:val="both"/>
        <w:rPr>
          <w:sz w:val="24"/>
          <w:szCs w:val="24"/>
          <w:rFonts w:ascii="Times New Roman" w:hAnsi="Times New Roman" w:cs="Times New Roman"/>
        </w:rPr>
      </w:pPr>
      <w:r>
        <w:rPr>
          <w:sz w:val="24"/>
          <w:rFonts w:ascii="Times New Roman" w:hAnsi="Times New Roman"/>
        </w:rPr>
        <w:t xml:space="preserve">(a) Cualquier persona que desee prestar servicios como asistente odontológico que requiera registro o certificación debe obtener el registro o la certificación adecuados emitidos por la Junta antes de prestar los servicios, excepto según se dispone en el Artículo 265.001(d) del Código de Ocupaciones de Texas y el Artículo 114.11 de este capítulo.</w:t>
      </w:r>
    </w:p>
    <w:p w14:paraId="0882C29A" w14:textId="77777777" w:rsidR="00AA2C78" w:rsidRPr="00AA2C78" w:rsidRDefault="00AA2C78" w:rsidP="00AA2C78">
      <w:pPr>
        <w:jc w:val="both"/>
        <w:rPr>
          <w:sz w:val="24"/>
          <w:szCs w:val="24"/>
          <w:rFonts w:ascii="Times New Roman" w:hAnsi="Times New Roman" w:cs="Times New Roman"/>
        </w:rPr>
      </w:pPr>
      <w:r>
        <w:rPr>
          <w:sz w:val="24"/>
          <w:rFonts w:ascii="Times New Roman" w:hAnsi="Times New Roman"/>
        </w:rPr>
        <w:t xml:space="preserve">(b) Todos los solicitantes de registro o certificación deben cumplir con los requisitos de este capítulo.</w:t>
      </w:r>
    </w:p>
    <w:p w14:paraId="1B7053B5" w14:textId="77777777" w:rsidR="00AA2C78" w:rsidRPr="00AA2C78" w:rsidRDefault="00AA2C78" w:rsidP="00AA2C78">
      <w:pPr>
        <w:jc w:val="both"/>
        <w:rPr>
          <w:sz w:val="24"/>
          <w:szCs w:val="24"/>
          <w:rFonts w:ascii="Times New Roman" w:hAnsi="Times New Roman" w:cs="Times New Roman"/>
        </w:rPr>
      </w:pPr>
      <w:r>
        <w:rPr>
          <w:sz w:val="24"/>
          <w:rFonts w:ascii="Times New Roman" w:hAnsi="Times New Roman"/>
        </w:rPr>
        <w:t xml:space="preserve">(c) Para ser elegible para el registro o la certificación, el solicitante debe proporcionar, junto a un formulario de solicitud aprobado por la Junta, pruebas satisfactorias para la Junta de que el solicitante:</w:t>
      </w:r>
    </w:p>
    <w:p w14:paraId="3F4809DA" w14:textId="77777777" w:rsidR="00AA2C78" w:rsidRDefault="00AA2C78" w:rsidP="00AA2C78">
      <w:pPr>
        <w:jc w:val="both"/>
        <w:rPr>
          <w:sz w:val="24"/>
          <w:szCs w:val="24"/>
          <w:rFonts w:ascii="Times New Roman" w:hAnsi="Times New Roman" w:cs="Times New Roman"/>
        </w:rPr>
      </w:pPr>
      <w:r>
        <w:rPr>
          <w:sz w:val="24"/>
          <w:rFonts w:ascii="Times New Roman" w:hAnsi="Times New Roman"/>
        </w:rPr>
        <w:t xml:space="preserve">(1) ha cumplido con todos los requisitos de registro o certificación descritos en este capítulo;</w:t>
      </w:r>
    </w:p>
    <w:p w14:paraId="465F22B0" w14:textId="2AF78DEA" w:rsidR="00EC5675" w:rsidRPr="00EC5675" w:rsidRDefault="00EC5675" w:rsidP="00EC5675">
      <w:pPr>
        <w:jc w:val="both"/>
        <w:rPr>
          <w:sz w:val="24"/>
          <w:szCs w:val="24"/>
          <w:u w:val="single"/>
          <w:rFonts w:ascii="Times New Roman" w:hAnsi="Times New Roman" w:cs="Times New Roman"/>
        </w:rPr>
      </w:pPr>
      <w:r>
        <w:rPr>
          <w:sz w:val="24"/>
          <w:u w:val="single"/>
          <w:rFonts w:ascii="Times New Roman" w:hAnsi="Times New Roman"/>
        </w:rPr>
        <w:t xml:space="preserve">(2) Ha presentado documentación que comprueba su ciudadanía estadounidense, residencia legal permanente en los Estados Unidos, o autorización federal de trabajo.</w:t>
      </w:r>
      <w:r>
        <w:rPr>
          <w:sz w:val="24"/>
          <w:u w:val="single"/>
          <w:rFonts w:ascii="Times New Roman" w:hAnsi="Times New Roman"/>
        </w:rPr>
        <w:t xml:space="preserve"> </w:t>
      </w:r>
      <w:r>
        <w:rPr>
          <w:sz w:val="24"/>
          <w:u w:val="single"/>
          <w:rFonts w:ascii="Times New Roman" w:hAnsi="Times New Roman"/>
        </w:rPr>
        <w:t xml:space="preserve">Este requisito se aplica para solicitudes iniciales y de renovación.</w:t>
      </w:r>
      <w:r>
        <w:rPr>
          <w:sz w:val="24"/>
          <w:u w:val="single"/>
          <w:rFonts w:ascii="Times New Roman" w:hAnsi="Times New Roman"/>
        </w:rPr>
        <w:t xml:space="preserve"> </w:t>
      </w:r>
      <w:r>
        <w:rPr>
          <w:sz w:val="24"/>
          <w:u w:val="single"/>
          <w:rFonts w:ascii="Times New Roman" w:hAnsi="Times New Roman"/>
        </w:rPr>
        <w:t xml:space="preserve">El solicitante debe presentar uno de los siguientes:</w:t>
      </w:r>
    </w:p>
    <w:p w14:paraId="4AC29CEB" w14:textId="77777777" w:rsidR="00EC5675" w:rsidRDefault="00EC5675" w:rsidP="00EC5675">
      <w:pPr>
        <w:pStyle w:val="ListParagraph"/>
        <w:numPr>
          <w:ilvl w:val="0"/>
          <w:numId w:val="5"/>
        </w:numPr>
        <w:jc w:val="both"/>
        <w:rPr>
          <w:sz w:val="24"/>
          <w:szCs w:val="24"/>
          <w:u w:val="single"/>
          <w:rFonts w:ascii="Times New Roman" w:hAnsi="Times New Roman" w:cs="Times New Roman"/>
        </w:rPr>
      </w:pPr>
      <w:r>
        <w:rPr>
          <w:sz w:val="24"/>
          <w:u w:val="single"/>
          <w:rFonts w:ascii="Times New Roman" w:hAnsi="Times New Roman"/>
        </w:rPr>
        <w:t xml:space="preserve"> </w:t>
      </w:r>
      <w:r>
        <w:rPr>
          <w:sz w:val="24"/>
          <w:u w:val="single"/>
          <w:rFonts w:ascii="Times New Roman" w:hAnsi="Times New Roman"/>
        </w:rPr>
        <w:t xml:space="preserve">una licencia de conducir o certificado de identificación del estado válidos y vigentes emitidos por un estado o territorio de los Estados Unidos, que cumpla con los requisitos mínimos de documentos y estándares de emisión para su reconocimiento federal conforme a la Ley REAL ID de 2005, Ley Pública 109-13, a menos que la licencia de conducir esté marcada como “Limited Term” [Plazo limitado] o “Temporary” [Temporal];</w:t>
      </w:r>
    </w:p>
    <w:p w14:paraId="7DF9B3BD" w14:textId="77777777" w:rsidR="001401F5" w:rsidRDefault="001401F5" w:rsidP="001401F5">
      <w:pPr>
        <w:pStyle w:val="ListParagraph"/>
        <w:jc w:val="both"/>
        <w:rPr>
          <w:rFonts w:ascii="Times New Roman" w:hAnsi="Times New Roman" w:cs="Times New Roman"/>
          <w:sz w:val="24"/>
          <w:szCs w:val="24"/>
          <w:u w:val="single"/>
        </w:rPr>
      </w:pPr>
    </w:p>
    <w:p w14:paraId="235AAEFA" w14:textId="636FADF7" w:rsidR="001401F5" w:rsidRPr="001401F5" w:rsidRDefault="001401F5" w:rsidP="001401F5">
      <w:pPr>
        <w:pStyle w:val="ListParagraph"/>
        <w:numPr>
          <w:ilvl w:val="0"/>
          <w:numId w:val="5"/>
        </w:numPr>
        <w:jc w:val="both"/>
        <w:rPr>
          <w:sz w:val="24"/>
          <w:szCs w:val="24"/>
          <w:u w:val="single"/>
          <w:rFonts w:ascii="Times New Roman" w:hAnsi="Times New Roman" w:cs="Times New Roman"/>
        </w:rPr>
      </w:pPr>
      <w:r>
        <w:rPr>
          <w:sz w:val="24"/>
          <w:u w:val="single"/>
          <w:rFonts w:ascii="Times New Roman" w:hAnsi="Times New Roman"/>
        </w:rPr>
        <w:t xml:space="preserve">una licencia de conducir o certificado de identificación del estado válidos y vigentes que no cumplan con los requisitos de REAL ID, emitidos por uno de los siguientes estados:</w:t>
      </w:r>
      <w:r>
        <w:rPr>
          <w:sz w:val="24"/>
          <w:u w:val="single"/>
          <w:rFonts w:ascii="Times New Roman" w:hAnsi="Times New Roman"/>
        </w:rPr>
        <w:t xml:space="preserve"> </w:t>
      </w:r>
      <w:r>
        <w:rPr>
          <w:sz w:val="24"/>
          <w:u w:val="single"/>
          <w:rFonts w:ascii="Times New Roman" w:hAnsi="Times New Roman"/>
        </w:rPr>
        <w:t xml:space="preserve">Alabama, Alaska, Arizona, Arkansas, Florida, Georgia, Idaho, Indiana, Iowa, Kansas, Kentucky, Louisiana, Maine, Michigan, Mississippi, Missouri, Montana, Nebraska, Nuevo Hampshire, Carolina del Norte, Dakota del Norte, Ohio, Oklahoma, Pensilvania, Carolina del Sur, Dakota del Sur, Tennessee, Texas, Virginia Occidental, Wisconsin, o Wyoming;</w:t>
      </w:r>
    </w:p>
    <w:p w14:paraId="270ABB30" w14:textId="77777777" w:rsidR="00EC5675" w:rsidRPr="00EC5675" w:rsidRDefault="00EC5675" w:rsidP="00EC5675">
      <w:pPr>
        <w:pStyle w:val="ListParagraph"/>
        <w:ind w:left="1080"/>
        <w:jc w:val="both"/>
        <w:rPr>
          <w:rFonts w:ascii="Times New Roman" w:hAnsi="Times New Roman" w:cs="Times New Roman"/>
          <w:sz w:val="24"/>
          <w:szCs w:val="24"/>
          <w:u w:val="single"/>
        </w:rPr>
      </w:pPr>
    </w:p>
    <w:p w14:paraId="61BBF5C7" w14:textId="77777777" w:rsidR="00EC5675" w:rsidRPr="00EC5675" w:rsidRDefault="00EC5675" w:rsidP="00EC5675">
      <w:pPr>
        <w:pStyle w:val="ListParagraph"/>
        <w:numPr>
          <w:ilvl w:val="0"/>
          <w:numId w:val="5"/>
        </w:numPr>
        <w:jc w:val="both"/>
        <w:rPr>
          <w:sz w:val="24"/>
          <w:szCs w:val="24"/>
          <w:u w:val="single"/>
          <w:rFonts w:ascii="Times New Roman" w:hAnsi="Times New Roman" w:cs="Times New Roman"/>
        </w:rPr>
      </w:pPr>
      <w:r>
        <w:rPr>
          <w:sz w:val="24"/>
          <w:u w:val="single"/>
          <w:rFonts w:ascii="Times New Roman" w:hAnsi="Times New Roman"/>
        </w:rPr>
        <w:t xml:space="preserve">un pasaporte válido.</w:t>
      </w:r>
      <w:r>
        <w:rPr>
          <w:sz w:val="24"/>
          <w:u w:val="single"/>
          <w:rFonts w:ascii="Times New Roman" w:hAnsi="Times New Roman"/>
        </w:rPr>
        <w:t xml:space="preserve"> </w:t>
      </w:r>
      <w:r>
        <w:rPr>
          <w:sz w:val="24"/>
          <w:u w:val="single"/>
          <w:rFonts w:ascii="Times New Roman" w:hAnsi="Times New Roman"/>
        </w:rPr>
        <w:t xml:space="preserve">Se define “pasaporte válido” como:</w:t>
      </w:r>
      <w:r>
        <w:rPr>
          <w:sz w:val="24"/>
          <w:u w:val="single"/>
          <w:rFonts w:ascii="Times New Roman" w:hAnsi="Times New Roman"/>
        </w:rPr>
        <w:t xml:space="preserve"> </w:t>
      </w:r>
    </w:p>
    <w:p w14:paraId="02D0CF3A" w14:textId="77777777" w:rsidR="00EC5675" w:rsidRPr="00EC5675" w:rsidRDefault="00EC5675" w:rsidP="00EC5675">
      <w:pPr>
        <w:pStyle w:val="ListParagraph"/>
        <w:rPr>
          <w:rFonts w:ascii="Times New Roman" w:hAnsi="Times New Roman" w:cs="Times New Roman"/>
          <w:sz w:val="24"/>
          <w:szCs w:val="24"/>
          <w:u w:val="single"/>
        </w:rPr>
      </w:pPr>
    </w:p>
    <w:p w14:paraId="1FAAA82F" w14:textId="77777777" w:rsidR="00EC5675" w:rsidRPr="00EC5675" w:rsidRDefault="00EC5675" w:rsidP="00EC5675">
      <w:pPr>
        <w:pStyle w:val="ListParagraph"/>
        <w:numPr>
          <w:ilvl w:val="0"/>
          <w:numId w:val="6"/>
        </w:numPr>
        <w:jc w:val="both"/>
        <w:rPr>
          <w:sz w:val="24"/>
          <w:szCs w:val="24"/>
          <w:u w:val="single"/>
          <w:rFonts w:ascii="Times New Roman" w:hAnsi="Times New Roman" w:cs="Times New Roman"/>
        </w:rPr>
      </w:pPr>
      <w:r>
        <w:rPr>
          <w:sz w:val="24"/>
          <w:u w:val="single"/>
          <w:rFonts w:ascii="Times New Roman" w:hAnsi="Times New Roman"/>
        </w:rPr>
        <w:t xml:space="preserve">un pasaporte o tarjeta de pasaporte vigente emitidos por el gobierno de Estados Unidos; o</w:t>
      </w:r>
      <w:r>
        <w:rPr>
          <w:sz w:val="24"/>
          <w:u w:val="single"/>
          <w:rFonts w:ascii="Times New Roman" w:hAnsi="Times New Roman"/>
        </w:rPr>
        <w:t xml:space="preserve"> </w:t>
      </w:r>
    </w:p>
    <w:p w14:paraId="7102CAD2" w14:textId="77777777" w:rsidR="00EC5675" w:rsidRPr="00EC5675" w:rsidRDefault="00EC5675" w:rsidP="00EC5675">
      <w:pPr>
        <w:pStyle w:val="ListParagraph"/>
        <w:ind w:left="2160"/>
        <w:jc w:val="both"/>
        <w:rPr>
          <w:rFonts w:ascii="Times New Roman" w:hAnsi="Times New Roman" w:cs="Times New Roman"/>
          <w:sz w:val="24"/>
          <w:szCs w:val="24"/>
          <w:u w:val="single"/>
        </w:rPr>
      </w:pPr>
    </w:p>
    <w:p w14:paraId="132BD087" w14:textId="77777777" w:rsidR="00EC5675" w:rsidRPr="00EC5675" w:rsidRDefault="00EC5675" w:rsidP="00EC5675">
      <w:pPr>
        <w:pStyle w:val="ListParagraph"/>
        <w:numPr>
          <w:ilvl w:val="0"/>
          <w:numId w:val="6"/>
        </w:numPr>
        <w:jc w:val="both"/>
        <w:rPr>
          <w:sz w:val="24"/>
          <w:szCs w:val="24"/>
          <w:u w:val="single"/>
          <w:rFonts w:ascii="Times New Roman" w:hAnsi="Times New Roman" w:cs="Times New Roman"/>
        </w:rPr>
      </w:pPr>
      <w:r>
        <w:rPr>
          <w:sz w:val="24"/>
          <w:u w:val="single"/>
          <w:rFonts w:ascii="Times New Roman" w:hAnsi="Times New Roman"/>
        </w:rPr>
        <w:t xml:space="preserve">un pasaporte vigente emitido por el gobierno de otro país, acompañado de una cédula de residente permanente vigente o visa de inmigrante vigente, emitidos por el Departamento de Seguridad Nacional de Estados Unidos;</w:t>
      </w:r>
      <w:r>
        <w:rPr>
          <w:sz w:val="24"/>
          <w:u w:val="single"/>
          <w:rFonts w:ascii="Times New Roman" w:hAnsi="Times New Roman"/>
        </w:rPr>
        <w:t xml:space="preserve"> </w:t>
      </w:r>
    </w:p>
    <w:p w14:paraId="12EB96CC" w14:textId="77777777" w:rsidR="00EC5675" w:rsidRPr="00EC5675" w:rsidRDefault="00EC5675" w:rsidP="00EC5675">
      <w:pPr>
        <w:pStyle w:val="ListParagraph"/>
        <w:rPr>
          <w:rFonts w:ascii="Times New Roman" w:hAnsi="Times New Roman" w:cs="Times New Roman"/>
          <w:sz w:val="24"/>
          <w:szCs w:val="24"/>
          <w:u w:val="single"/>
        </w:rPr>
      </w:pPr>
    </w:p>
    <w:p w14:paraId="7304DC15" w14:textId="77777777" w:rsidR="00EC5675" w:rsidRPr="00EC5675" w:rsidRDefault="00EC5675" w:rsidP="00EC5675">
      <w:pPr>
        <w:pStyle w:val="ListParagraph"/>
        <w:numPr>
          <w:ilvl w:val="0"/>
          <w:numId w:val="5"/>
        </w:numPr>
        <w:jc w:val="both"/>
        <w:rPr>
          <w:sz w:val="24"/>
          <w:szCs w:val="24"/>
          <w:u w:val="single"/>
          <w:rFonts w:ascii="Times New Roman" w:hAnsi="Times New Roman" w:cs="Times New Roman"/>
        </w:rPr>
      </w:pPr>
      <w:r>
        <w:rPr>
          <w:sz w:val="24"/>
          <w:u w:val="single"/>
          <w:rFonts w:ascii="Times New Roman" w:hAnsi="Times New Roman"/>
        </w:rPr>
        <w:t xml:space="preserve">una licencia de portación de armas de fuego válida y vigente emitida por el Departamento de Seguridad Pública de Texas conforme al Código de Gobierno, Capítulo 411, Apartado H;</w:t>
      </w:r>
    </w:p>
    <w:p w14:paraId="1C7C18E1" w14:textId="77777777" w:rsidR="00EC5675" w:rsidRPr="00EC5675" w:rsidRDefault="00EC5675" w:rsidP="00EC5675">
      <w:pPr>
        <w:pStyle w:val="ListParagraph"/>
        <w:jc w:val="both"/>
        <w:rPr>
          <w:rFonts w:ascii="Times New Roman" w:hAnsi="Times New Roman" w:cs="Times New Roman"/>
          <w:sz w:val="24"/>
          <w:szCs w:val="24"/>
          <w:u w:val="single"/>
        </w:rPr>
      </w:pPr>
    </w:p>
    <w:p w14:paraId="5FD31DF8" w14:textId="77777777" w:rsidR="00EC5675" w:rsidRPr="00EC5675" w:rsidRDefault="00EC5675" w:rsidP="00EC5675">
      <w:pPr>
        <w:pStyle w:val="ListParagraph"/>
        <w:numPr>
          <w:ilvl w:val="0"/>
          <w:numId w:val="5"/>
        </w:numPr>
        <w:jc w:val="both"/>
        <w:rPr>
          <w:sz w:val="24"/>
          <w:szCs w:val="24"/>
          <w:u w:val="single"/>
          <w:rFonts w:ascii="Times New Roman" w:hAnsi="Times New Roman" w:cs="Times New Roman"/>
        </w:rPr>
      </w:pPr>
      <w:r>
        <w:rPr>
          <w:sz w:val="24"/>
          <w:u w:val="single"/>
          <w:rFonts w:ascii="Times New Roman" w:hAnsi="Times New Roman"/>
        </w:rPr>
        <w:t xml:space="preserve">un Certificado de Naturalización de Estados Unidos (Formulario N-550 o N-570); o</w:t>
      </w:r>
    </w:p>
    <w:p w14:paraId="41318FB5" w14:textId="77777777" w:rsidR="00EC5675" w:rsidRPr="00EC5675" w:rsidRDefault="00EC5675" w:rsidP="00EC5675">
      <w:pPr>
        <w:pStyle w:val="ListParagraph"/>
        <w:rPr>
          <w:rFonts w:ascii="Times New Roman" w:hAnsi="Times New Roman" w:cs="Times New Roman"/>
          <w:sz w:val="24"/>
          <w:szCs w:val="24"/>
          <w:u w:val="single"/>
        </w:rPr>
      </w:pPr>
    </w:p>
    <w:p w14:paraId="2D335A3C" w14:textId="5996854C" w:rsidR="00AA2C78" w:rsidRPr="00EC5675" w:rsidRDefault="00EC5675" w:rsidP="00AA2C78">
      <w:pPr>
        <w:pStyle w:val="ListParagraph"/>
        <w:numPr>
          <w:ilvl w:val="0"/>
          <w:numId w:val="5"/>
        </w:numPr>
        <w:jc w:val="both"/>
        <w:rPr>
          <w:sz w:val="24"/>
          <w:szCs w:val="24"/>
          <w:u w:val="single"/>
          <w:rFonts w:ascii="Times New Roman" w:hAnsi="Times New Roman" w:cs="Times New Roman"/>
        </w:rPr>
      </w:pPr>
      <w:r>
        <w:rPr>
          <w:sz w:val="24"/>
          <w:u w:val="single"/>
          <w:rFonts w:ascii="Times New Roman" w:hAnsi="Times New Roman"/>
        </w:rPr>
        <w:t xml:space="preserve">un Certificado de Ciudadanía de Estados Unidos (Formulario N-560 o N-561);</w:t>
      </w:r>
    </w:p>
    <w:p w14:paraId="49AED024" w14:textId="510B0707" w:rsidR="00AA2C78" w:rsidRPr="00AA2C78" w:rsidRDefault="00EC5675" w:rsidP="00AA2C78">
      <w:pPr>
        <w:jc w:val="both"/>
        <w:rPr>
          <w:sz w:val="24"/>
          <w:szCs w:val="24"/>
          <w:rFonts w:ascii="Times New Roman" w:hAnsi="Times New Roman" w:cs="Times New Roman"/>
        </w:rPr>
      </w:pPr>
      <w:r>
        <w:rPr>
          <w:sz w:val="24"/>
          <w:u w:val="single"/>
          <w:rFonts w:ascii="Times New Roman" w:hAnsi="Times New Roman"/>
        </w:rPr>
        <w:t xml:space="preserve">(3)</w:t>
      </w:r>
      <w:r>
        <w:rPr>
          <w:sz w:val="24"/>
          <w:rFonts w:ascii="Times New Roman" w:hAnsi="Times New Roman"/>
        </w:rPr>
        <w:t xml:space="preserve"> [(2)] ha cumplido con todos los requisitos del Artículo 101.8 de este título (relativo a Personas con Antecedentes Penales);</w:t>
      </w:r>
    </w:p>
    <w:p w14:paraId="5273D270" w14:textId="1D71BBA7" w:rsidR="00AA2C78" w:rsidRPr="00AA2C78" w:rsidRDefault="00EC5675" w:rsidP="00AA2C78">
      <w:pPr>
        <w:jc w:val="both"/>
        <w:rPr>
          <w:sz w:val="24"/>
          <w:szCs w:val="24"/>
          <w:rFonts w:ascii="Times New Roman" w:hAnsi="Times New Roman" w:cs="Times New Roman"/>
        </w:rPr>
      </w:pPr>
      <w:r>
        <w:rPr>
          <w:sz w:val="24"/>
          <w:u w:val="single"/>
          <w:rFonts w:ascii="Times New Roman" w:hAnsi="Times New Roman"/>
        </w:rPr>
        <w:t xml:space="preserve">(4)</w:t>
      </w:r>
      <w:r>
        <w:rPr>
          <w:sz w:val="24"/>
          <w:rFonts w:ascii="Times New Roman" w:hAnsi="Times New Roman"/>
        </w:rPr>
        <w:t xml:space="preserve"> [(3)] no se ha encontrado con sanciones disciplinarias tomadas en su contra en este estado ni en ninguna otra jurisdicción;</w:t>
      </w:r>
    </w:p>
    <w:p w14:paraId="405CF8F7" w14:textId="12A9A651" w:rsidR="00AA2C78" w:rsidRPr="00AA2C78" w:rsidRDefault="00EC5675" w:rsidP="00AA2C78">
      <w:pPr>
        <w:jc w:val="both"/>
        <w:rPr>
          <w:sz w:val="24"/>
          <w:szCs w:val="24"/>
          <w:rFonts w:ascii="Times New Roman" w:hAnsi="Times New Roman" w:cs="Times New Roman"/>
        </w:rPr>
      </w:pPr>
      <w:r>
        <w:rPr>
          <w:sz w:val="24"/>
          <w:u w:val="single"/>
          <w:rFonts w:ascii="Times New Roman" w:hAnsi="Times New Roman"/>
        </w:rPr>
        <w:t xml:space="preserve">(5)</w:t>
      </w:r>
      <w:r>
        <w:rPr>
          <w:sz w:val="24"/>
          <w:rFonts w:ascii="Times New Roman" w:hAnsi="Times New Roman"/>
        </w:rPr>
        <w:t xml:space="preserve"> [(4)] ha completado con éxito un curso actual de soporte vital básico;</w:t>
      </w:r>
    </w:p>
    <w:p w14:paraId="49C7F33F" w14:textId="72ACEEBF" w:rsidR="00AA2C78" w:rsidRPr="00AA2C78" w:rsidRDefault="00EC5675" w:rsidP="00AA2C78">
      <w:pPr>
        <w:jc w:val="both"/>
        <w:rPr>
          <w:sz w:val="24"/>
          <w:szCs w:val="24"/>
          <w:rFonts w:ascii="Times New Roman" w:hAnsi="Times New Roman" w:cs="Times New Roman"/>
        </w:rPr>
      </w:pPr>
      <w:r>
        <w:rPr>
          <w:sz w:val="24"/>
          <w:u w:val="single"/>
          <w:rFonts w:ascii="Times New Roman" w:hAnsi="Times New Roman"/>
        </w:rPr>
        <w:t xml:space="preserve">(6)</w:t>
      </w:r>
      <w:r>
        <w:rPr>
          <w:sz w:val="24"/>
          <w:rFonts w:ascii="Times New Roman" w:hAnsi="Times New Roman"/>
        </w:rPr>
        <w:t xml:space="preserve"> [(5)] ha tomado y aprobado la evaluación de jurisprudencia administrada por la Junta o una entidad designada por la Junta dentro de un año inmediatamente antes de la solicitud;</w:t>
      </w:r>
    </w:p>
    <w:p w14:paraId="16CB97B9" w14:textId="5A172DD5" w:rsidR="00AA2C78" w:rsidRPr="00AA2C78" w:rsidRDefault="00EC5675" w:rsidP="00AA2C78">
      <w:pPr>
        <w:jc w:val="both"/>
        <w:rPr>
          <w:sz w:val="24"/>
          <w:szCs w:val="24"/>
          <w:rFonts w:ascii="Times New Roman" w:hAnsi="Times New Roman" w:cs="Times New Roman"/>
        </w:rPr>
      </w:pPr>
      <w:r>
        <w:rPr>
          <w:sz w:val="24"/>
          <w:u w:val="single"/>
          <w:rFonts w:ascii="Times New Roman" w:hAnsi="Times New Roman"/>
        </w:rPr>
        <w:t xml:space="preserve">(7)</w:t>
      </w:r>
      <w:r>
        <w:rPr>
          <w:sz w:val="24"/>
          <w:rFonts w:ascii="Times New Roman" w:hAnsi="Times New Roman"/>
        </w:rPr>
        <w:t xml:space="preserve"> [(6)] ha pagado todos los aranceles de solicitud, examen y </w:t>
      </w:r>
      <w:r>
        <w:rPr>
          <w:sz w:val="24"/>
          <w:u w:val="single"/>
          <w:rFonts w:ascii="Times New Roman" w:hAnsi="Times New Roman"/>
        </w:rPr>
        <w:t xml:space="preserve">registro o certificación</w:t>
      </w:r>
      <w:r>
        <w:rPr>
          <w:sz w:val="24"/>
          <w:rFonts w:ascii="Times New Roman" w:hAnsi="Times New Roman"/>
        </w:rPr>
        <w:t xml:space="preserve"> requeridos por la </w:t>
      </w:r>
      <w:r>
        <w:rPr>
          <w:sz w:val="24"/>
          <w:u w:val="single"/>
          <w:rFonts w:ascii="Times New Roman" w:hAnsi="Times New Roman"/>
        </w:rPr>
        <w:t xml:space="preserve">Ley del Ejercicio de la Odontología</w:t>
      </w:r>
      <w:r>
        <w:rPr>
          <w:sz w:val="24"/>
          <w:rFonts w:ascii="Times New Roman" w:hAnsi="Times New Roman"/>
        </w:rPr>
        <w:t xml:space="preserve"> [ley] y las reglas [y normas] de la Junta;</w:t>
      </w:r>
    </w:p>
    <w:p w14:paraId="1B8853E6" w14:textId="274327D0" w:rsidR="00AA2C78" w:rsidRPr="00AA2C78" w:rsidRDefault="00EC5675" w:rsidP="00AA2C78">
      <w:pPr>
        <w:jc w:val="both"/>
        <w:rPr>
          <w:sz w:val="24"/>
          <w:szCs w:val="24"/>
          <w:rFonts w:ascii="Times New Roman" w:hAnsi="Times New Roman" w:cs="Times New Roman"/>
        </w:rPr>
      </w:pPr>
      <w:r>
        <w:rPr>
          <w:sz w:val="24"/>
          <w:u w:val="single"/>
          <w:rFonts w:ascii="Times New Roman" w:hAnsi="Times New Roman"/>
        </w:rPr>
        <w:t xml:space="preserve">(8)</w:t>
      </w:r>
      <w:r>
        <w:rPr>
          <w:sz w:val="24"/>
          <w:rFonts w:ascii="Times New Roman" w:hAnsi="Times New Roman"/>
        </w:rPr>
        <w:t xml:space="preserve"> [(7)] ha completado un curso en prevención de trata de personas aprobado por el comisionado ejecutivo de la Comisión de Salud y Servicios Humanos de Texas; y</w:t>
      </w:r>
    </w:p>
    <w:p w14:paraId="5807612A" w14:textId="07FB3EB5" w:rsidR="00AA2C78" w:rsidRPr="00AA2C78" w:rsidRDefault="00EC5675" w:rsidP="00AA2C78">
      <w:pPr>
        <w:jc w:val="both"/>
        <w:rPr>
          <w:sz w:val="24"/>
          <w:szCs w:val="24"/>
          <w:rFonts w:ascii="Times New Roman" w:hAnsi="Times New Roman" w:cs="Times New Roman"/>
        </w:rPr>
      </w:pPr>
      <w:r>
        <w:rPr>
          <w:sz w:val="24"/>
          <w:u w:val="single"/>
          <w:rFonts w:ascii="Times New Roman" w:hAnsi="Times New Roman"/>
        </w:rPr>
        <w:t xml:space="preserve">(9)</w:t>
      </w:r>
      <w:r>
        <w:rPr>
          <w:sz w:val="24"/>
          <w:rFonts w:ascii="Times New Roman" w:hAnsi="Times New Roman"/>
        </w:rPr>
        <w:t xml:space="preserve"> [(8)] ha presentado un informe de consulta propia del National Practitioner Data Bank [Banco de Datos de Profesionales Nacionales] al momento de registro o certificación inicial.</w:t>
      </w:r>
      <w:r>
        <w:rPr>
          <w:sz w:val="24"/>
          <w:rFonts w:ascii="Times New Roman" w:hAnsi="Times New Roman"/>
        </w:rPr>
        <w:t xml:space="preserve"> </w:t>
      </w:r>
      <w:r>
        <w:rPr>
          <w:sz w:val="24"/>
          <w:rFonts w:ascii="Times New Roman" w:hAnsi="Times New Roman"/>
        </w:rPr>
        <w:t xml:space="preserve">Los resultados del informe deben permanecer en el sobre sellado original.</w:t>
      </w:r>
    </w:p>
    <w:p w14:paraId="2E277475" w14:textId="77777777" w:rsidR="00AA2C78" w:rsidRPr="00AA2C78" w:rsidRDefault="00AA2C78" w:rsidP="00AA2C78">
      <w:pPr>
        <w:jc w:val="both"/>
        <w:rPr>
          <w:sz w:val="24"/>
          <w:szCs w:val="24"/>
          <w:rFonts w:ascii="Times New Roman" w:hAnsi="Times New Roman" w:cs="Times New Roman"/>
        </w:rPr>
      </w:pPr>
      <w:r>
        <w:rPr>
          <w:sz w:val="24"/>
          <w:rFonts w:ascii="Times New Roman" w:hAnsi="Times New Roman"/>
        </w:rPr>
        <w:t xml:space="preserve">(d) La solicitudes de registro y certificación de asistente odontológico debe enviarse a la oficina de la Junta Estatal de Odontólogos.</w:t>
      </w:r>
    </w:p>
    <w:p w14:paraId="3AAB6B12" w14:textId="77777777" w:rsidR="00AA2C78" w:rsidRPr="00AA2C78" w:rsidRDefault="00AA2C78" w:rsidP="00AA2C78">
      <w:pPr>
        <w:jc w:val="both"/>
        <w:rPr>
          <w:sz w:val="24"/>
          <w:szCs w:val="24"/>
          <w:rFonts w:ascii="Times New Roman" w:hAnsi="Times New Roman" w:cs="Times New Roman"/>
        </w:rPr>
      </w:pPr>
      <w:r>
        <w:rPr>
          <w:sz w:val="24"/>
          <w:rFonts w:ascii="Times New Roman" w:hAnsi="Times New Roman"/>
        </w:rPr>
        <w:t xml:space="preserve">(e) Se considera que se ha presentado una solicitud de registro o certificación de asistente odontológico ante la Junta cuando la Junta realmente la recibe, la marca con la fecha, y la registra, junto con toda la documentación y los aranceles requeridos.</w:t>
      </w:r>
      <w:r>
        <w:rPr>
          <w:sz w:val="24"/>
          <w:rFonts w:ascii="Times New Roman" w:hAnsi="Times New Roman"/>
        </w:rPr>
        <w:t xml:space="preserve"> </w:t>
      </w:r>
      <w:r>
        <w:rPr>
          <w:sz w:val="24"/>
          <w:rFonts w:ascii="Times New Roman" w:hAnsi="Times New Roman"/>
        </w:rPr>
        <w:t xml:space="preserve">Una solicitud incompleta será devuelta al solicitante, con una explicación de la documentación o información adicional necesaria.</w:t>
      </w:r>
    </w:p>
    <w:p w14:paraId="5D375EB7" w14:textId="109334B8" w:rsidR="00AA2C78" w:rsidRPr="00AA2C78" w:rsidRDefault="00AA2C78" w:rsidP="00AA2C78">
      <w:pPr>
        <w:jc w:val="both"/>
        <w:rPr>
          <w:sz w:val="24"/>
          <w:szCs w:val="24"/>
          <w:rFonts w:ascii="Times New Roman" w:hAnsi="Times New Roman" w:cs="Times New Roman"/>
        </w:rPr>
      </w:pPr>
      <w:r>
        <w:rPr>
          <w:sz w:val="24"/>
          <w:rFonts w:ascii="Times New Roman" w:hAnsi="Times New Roman"/>
        </w:rPr>
        <w:t xml:space="preserve">(f) La Junta podrá negarse a emitir </w:t>
      </w:r>
      <w:r>
        <w:rPr>
          <w:sz w:val="24"/>
          <w:u w:val="single"/>
          <w:rFonts w:ascii="Times New Roman" w:hAnsi="Times New Roman"/>
        </w:rPr>
        <w:t xml:space="preserve">un</w:t>
      </w:r>
      <w:r>
        <w:rPr>
          <w:sz w:val="24"/>
          <w:rFonts w:ascii="Times New Roman" w:hAnsi="Times New Roman"/>
        </w:rPr>
        <w:t xml:space="preserve"> registro o certificación, o podrá emitir un registro o certificado condicional, a cualquier persona que no cumpla con los requisitos de los apartados </w:t>
      </w:r>
      <w:r>
        <w:rPr>
          <w:sz w:val="24"/>
          <w:u w:val="single"/>
          <w:rFonts w:ascii="Times New Roman" w:hAnsi="Times New Roman"/>
        </w:rPr>
        <w:t xml:space="preserve">(c)(3) o (c)(4)</w:t>
      </w:r>
      <w:r>
        <w:rPr>
          <w:sz w:val="24"/>
          <w:rFonts w:ascii="Times New Roman" w:hAnsi="Times New Roman"/>
        </w:rPr>
        <w:t xml:space="preserve"> [(c)(2) o (c)(3)] de esta sección, o que:</w:t>
      </w:r>
    </w:p>
    <w:p w14:paraId="30396FC4" w14:textId="77777777" w:rsidR="00AA2C78" w:rsidRPr="00AA2C78" w:rsidRDefault="00AA2C78" w:rsidP="00AA2C78">
      <w:pPr>
        <w:jc w:val="both"/>
        <w:rPr>
          <w:sz w:val="24"/>
          <w:szCs w:val="24"/>
          <w:rFonts w:ascii="Times New Roman" w:hAnsi="Times New Roman" w:cs="Times New Roman"/>
        </w:rPr>
      </w:pPr>
      <w:r>
        <w:rPr>
          <w:sz w:val="24"/>
          <w:rFonts w:ascii="Times New Roman" w:hAnsi="Times New Roman"/>
        </w:rPr>
        <w:t xml:space="preserve">(1) le presente a la Junta pruebas fraudulentas o falsas que indiquen que la persona está calificada para el registro o la certificación;</w:t>
      </w:r>
    </w:p>
    <w:p w14:paraId="26819184" w14:textId="77777777" w:rsidR="00AA2C78" w:rsidRPr="00AA2C78" w:rsidRDefault="00AA2C78" w:rsidP="00AA2C78">
      <w:pPr>
        <w:jc w:val="both"/>
        <w:rPr>
          <w:sz w:val="24"/>
          <w:szCs w:val="24"/>
          <w:rFonts w:ascii="Times New Roman" w:hAnsi="Times New Roman" w:cs="Times New Roman"/>
        </w:rPr>
      </w:pPr>
      <w:r>
        <w:rPr>
          <w:sz w:val="24"/>
          <w:rFonts w:ascii="Times New Roman" w:hAnsi="Times New Roman"/>
        </w:rPr>
        <w:t xml:space="preserve">(2) es culpable de cualquier tipo de ilegalidad, fraude o engaño durante el proceso para conseguir un registro o certificación;</w:t>
      </w:r>
    </w:p>
    <w:p w14:paraId="53B82A3A" w14:textId="77777777" w:rsidR="00AA2C78" w:rsidRPr="00AA2C78" w:rsidRDefault="00AA2C78" w:rsidP="00AA2C78">
      <w:pPr>
        <w:jc w:val="both"/>
        <w:rPr>
          <w:sz w:val="24"/>
          <w:szCs w:val="24"/>
          <w:rFonts w:ascii="Times New Roman" w:hAnsi="Times New Roman" w:cs="Times New Roman"/>
        </w:rPr>
      </w:pPr>
      <w:r>
        <w:rPr>
          <w:sz w:val="24"/>
          <w:rFonts w:ascii="Times New Roman" w:hAnsi="Times New Roman"/>
        </w:rPr>
        <w:t xml:space="preserve">(3) está habitualmente ebrio o es adicto a las drogas;</w:t>
      </w:r>
    </w:p>
    <w:p w14:paraId="5B38D287" w14:textId="77777777" w:rsidR="00AA2C78" w:rsidRPr="00AA2C78" w:rsidRDefault="00AA2C78" w:rsidP="00AA2C78">
      <w:pPr>
        <w:jc w:val="both"/>
        <w:rPr>
          <w:sz w:val="24"/>
          <w:szCs w:val="24"/>
          <w:rFonts w:ascii="Times New Roman" w:hAnsi="Times New Roman" w:cs="Times New Roman"/>
        </w:rPr>
      </w:pPr>
      <w:r>
        <w:rPr>
          <w:sz w:val="24"/>
          <w:rFonts w:ascii="Times New Roman" w:hAnsi="Times New Roman"/>
        </w:rPr>
        <w:t xml:space="preserve">(4) comete una práctica deshonesta o ilegal en odontología o en conexión con la odontología;</w:t>
      </w:r>
    </w:p>
    <w:p w14:paraId="2DF16E9E" w14:textId="77777777" w:rsidR="00AA2C78" w:rsidRPr="00AA2C78" w:rsidRDefault="00AA2C78" w:rsidP="00AA2C78">
      <w:pPr>
        <w:jc w:val="both"/>
        <w:rPr>
          <w:sz w:val="24"/>
          <w:szCs w:val="24"/>
          <w:rFonts w:ascii="Times New Roman" w:hAnsi="Times New Roman" w:cs="Times New Roman"/>
        </w:rPr>
      </w:pPr>
      <w:r>
        <w:rPr>
          <w:sz w:val="24"/>
          <w:rFonts w:ascii="Times New Roman" w:hAnsi="Times New Roman"/>
        </w:rPr>
        <w:t xml:space="preserve">(5) es condenado de un delito conforme a la ley federal o la ley de este estado; o</w:t>
      </w:r>
    </w:p>
    <w:p w14:paraId="222D7A9E" w14:textId="77777777" w:rsidR="00AA2C78" w:rsidRPr="00AA2C78" w:rsidRDefault="00AA2C78" w:rsidP="00AA2C78">
      <w:pPr>
        <w:jc w:val="both"/>
        <w:rPr>
          <w:sz w:val="24"/>
          <w:szCs w:val="24"/>
          <w:rFonts w:ascii="Times New Roman" w:hAnsi="Times New Roman" w:cs="Times New Roman"/>
        </w:rPr>
      </w:pPr>
      <w:r>
        <w:rPr>
          <w:sz w:val="24"/>
          <w:rFonts w:ascii="Times New Roman" w:hAnsi="Times New Roman"/>
        </w:rPr>
        <w:t xml:space="preserve">(6) se descubre que ha violado una ley de este estado relativa al ejercicio de la odontología en los 12 meses anteriores a la fecha en que la persona presentó una solicitud de registro o certificación.</w:t>
      </w:r>
    </w:p>
    <w:p w14:paraId="45C5C35C" w14:textId="77777777" w:rsidR="00AA2C78" w:rsidRPr="00AA2C78" w:rsidRDefault="00AA2C78" w:rsidP="00AA2C78">
      <w:pPr>
        <w:jc w:val="both"/>
        <w:rPr>
          <w:sz w:val="24"/>
          <w:szCs w:val="24"/>
          <w:rFonts w:ascii="Times New Roman" w:hAnsi="Times New Roman" w:cs="Times New Roman"/>
        </w:rPr>
      </w:pPr>
      <w:r>
        <w:rPr>
          <w:sz w:val="24"/>
          <w:rFonts w:ascii="Times New Roman" w:hAnsi="Times New Roman"/>
        </w:rPr>
        <w:t xml:space="preserve">(g) Si la Junta decide emitir un registro o certificado condicional, se podrá solicitar que la persona celebre una orden de conciliación acordada con la Junta en el momento en que se emita el registro o certificado.</w:t>
      </w:r>
    </w:p>
    <w:p w14:paraId="4EE47098" w14:textId="77777777" w:rsidR="00AA2C78" w:rsidRPr="00AA2C78" w:rsidRDefault="00AA2C78" w:rsidP="00AA2C78">
      <w:pPr>
        <w:jc w:val="both"/>
        <w:rPr>
          <w:sz w:val="24"/>
          <w:szCs w:val="24"/>
          <w:rFonts w:ascii="Times New Roman" w:hAnsi="Times New Roman" w:cs="Times New Roman"/>
        </w:rPr>
      </w:pPr>
      <w:r>
        <w:rPr>
          <w:sz w:val="24"/>
          <w:rFonts w:ascii="Times New Roman" w:hAnsi="Times New Roman"/>
        </w:rPr>
        <w:t xml:space="preserve">(1) La orden podrá incluir limitaciones, que incluyen, sin limitación, limitaciones de ejercicio, estipulaciones, cumplimiento de condiciones ordenadas por un tribunal, notificación al empleador o cualquier otro requisito que recomiende la Junta para garantizar la seguridad pública.</w:t>
      </w:r>
    </w:p>
    <w:p w14:paraId="2CC05EB2" w14:textId="77777777" w:rsidR="00AA2C78" w:rsidRPr="00AA2C78" w:rsidRDefault="00AA2C78" w:rsidP="00AA2C78">
      <w:pPr>
        <w:jc w:val="both"/>
        <w:rPr>
          <w:sz w:val="24"/>
          <w:szCs w:val="24"/>
          <w:rFonts w:ascii="Times New Roman" w:hAnsi="Times New Roman" w:cs="Times New Roman"/>
        </w:rPr>
      </w:pPr>
      <w:r>
        <w:rPr>
          <w:sz w:val="24"/>
          <w:rFonts w:ascii="Times New Roman" w:hAnsi="Times New Roman"/>
        </w:rPr>
        <w:t xml:space="preserve">(2) En caso de que un solicitante no esté seguro de si está calificado para obtener un registro o certificación de asistente odontológico a causa de conducta criminal, el solicitante podrá solicitar una Carta de Evaluación de Antecedentes Penales de conformidad con el Artículo 114.9 de este capítulo, antes de presentar la solicitud.</w:t>
      </w:r>
    </w:p>
    <w:p w14:paraId="6AFDA695" w14:textId="77777777" w:rsidR="00AA2C78" w:rsidRPr="00AA2C78" w:rsidRDefault="00AA2C78" w:rsidP="00AA2C78">
      <w:pPr>
        <w:jc w:val="both"/>
        <w:rPr>
          <w:sz w:val="24"/>
          <w:szCs w:val="24"/>
          <w:rFonts w:ascii="Times New Roman" w:hAnsi="Times New Roman" w:cs="Times New Roman"/>
        </w:rPr>
      </w:pPr>
      <w:r>
        <w:rPr>
          <w:sz w:val="24"/>
          <w:rFonts w:ascii="Times New Roman" w:hAnsi="Times New Roman"/>
        </w:rPr>
        <w:t xml:space="preserve">(3) Si la persona viola los términos de su registro o certificado condicional, la Junta podrá tomar sanciones disciplinarias adicionales en su contra.</w:t>
      </w:r>
    </w:p>
    <w:p w14:paraId="1FEC8CC1" w14:textId="77777777" w:rsidR="00AA2C78" w:rsidRPr="00AA2C78" w:rsidRDefault="00AA2C78" w:rsidP="00AA2C78">
      <w:pPr>
        <w:jc w:val="both"/>
        <w:rPr>
          <w:sz w:val="24"/>
          <w:szCs w:val="24"/>
          <w:rFonts w:ascii="Times New Roman" w:hAnsi="Times New Roman" w:cs="Times New Roman"/>
        </w:rPr>
      </w:pPr>
      <w:r>
        <w:rPr>
          <w:sz w:val="24"/>
          <w:rFonts w:ascii="Times New Roman" w:hAnsi="Times New Roman"/>
        </w:rPr>
        <w:t xml:space="preserve">(h) Un solicitante cuya solicitud sea denegada por la Junta podrá apelar la decisión ante la Oficina de Audiencias Administrativas del Estado.</w:t>
      </w:r>
    </w:p>
    <w:p w14:paraId="50E08DDF" w14:textId="77777777" w:rsidR="00AA2C78" w:rsidRPr="00AA2C78" w:rsidRDefault="00AA2C78" w:rsidP="00AA2C78">
      <w:pPr>
        <w:jc w:val="both"/>
        <w:rPr>
          <w:sz w:val="24"/>
          <w:szCs w:val="24"/>
          <w:rFonts w:ascii="Times New Roman" w:hAnsi="Times New Roman" w:cs="Times New Roman"/>
        </w:rPr>
      </w:pPr>
      <w:r>
        <w:rPr>
          <w:sz w:val="24"/>
          <w:rFonts w:ascii="Times New Roman" w:hAnsi="Times New Roman"/>
        </w:rPr>
        <w:t xml:space="preserve">(i) Una persona cuya solicitud de registro/certificación de asistente odontológico sea rechazada no es elegible para presentar otra solicitud de registro/certificación hasta que haya pasado un año a partir de la fecha de denegación, o la fecha de la orden de la Junta que rechaza la solicitud de registro/certificación, cual sea la fecha posterior.</w:t>
      </w:r>
    </w:p>
    <w:p w14:paraId="54FFCE6B" w14:textId="08FAA191" w:rsidR="00AC4132" w:rsidRPr="00B357C2" w:rsidRDefault="00AC4132" w:rsidP="00527E13">
      <w:pPr>
        <w:jc w:val="both"/>
        <w:rPr>
          <w:rFonts w:ascii="Times New Roman" w:hAnsi="Times New Roman" w:cs="Times New Roman"/>
          <w:sz w:val="24"/>
          <w:szCs w:val="24"/>
        </w:rPr>
      </w:pPr>
    </w:p>
    <w:sectPr w:rsidR="00AC4132" w:rsidRPr="00B357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B37116"/>
    <w:multiLevelType w:val="hybridMultilevel"/>
    <w:tmpl w:val="F3244C02"/>
    <w:lvl w:ilvl="0" w:tplc="D890A474">
      <w:start w:val="1"/>
      <w:numFmt w:val="upperLetter"/>
      <w:lvlText w:val="(%1)"/>
      <w:lvlJc w:val="left"/>
      <w:pPr>
        <w:ind w:left="720" w:hanging="360"/>
      </w:pPr>
      <w:rPr>
        <w:rFonts w:hint="default"/>
        <w:u w:val="single"/>
      </w:rPr>
    </w:lvl>
    <w:lvl w:ilvl="1" w:tplc="6FA6CFFC">
      <w:start w:val="1"/>
      <w:numFmt w:val="lowerLetter"/>
      <w:lvlText w:val="%2."/>
      <w:lvlJc w:val="left"/>
      <w:pPr>
        <w:ind w:left="1440" w:hanging="360"/>
      </w:pPr>
      <w:rPr>
        <w:u w:val="single"/>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B8B672C"/>
    <w:multiLevelType w:val="hybridMultilevel"/>
    <w:tmpl w:val="D93EE1CC"/>
    <w:lvl w:ilvl="0" w:tplc="D8CA6A6A">
      <w:start w:val="1"/>
      <w:numFmt w:val="lowerRoman"/>
      <w:lvlText w:val="(%1)"/>
      <w:lvlJc w:val="left"/>
      <w:pPr>
        <w:ind w:left="1440" w:hanging="720"/>
      </w:pPr>
      <w:rPr>
        <w:rFonts w:hint="default"/>
        <w:u w:val="singl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7BC7E42"/>
    <w:multiLevelType w:val="hybridMultilevel"/>
    <w:tmpl w:val="37CE33E0"/>
    <w:lvl w:ilvl="0" w:tplc="807C7DBC">
      <w:start w:val="1"/>
      <w:numFmt w:val="upperRoman"/>
      <w:lvlText w:val="(%1)"/>
      <w:lvlJc w:val="left"/>
      <w:pPr>
        <w:ind w:left="2160" w:hanging="720"/>
      </w:pPr>
      <w:rPr>
        <w:rFonts w:hint="default"/>
        <w:u w:val="single"/>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E80166"/>
    <w:multiLevelType w:val="hybridMultilevel"/>
    <w:tmpl w:val="9702B13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6782226">
    <w:abstractNumId w:val="2"/>
  </w:num>
  <w:num w:numId="2" w16cid:durableId="922878223">
    <w:abstractNumId w:val="5"/>
  </w:num>
  <w:num w:numId="3" w16cid:durableId="688072057">
    <w:abstractNumId w:val="1"/>
  </w:num>
  <w:num w:numId="4" w16cid:durableId="586311849">
    <w:abstractNumId w:val="6"/>
  </w:num>
  <w:num w:numId="5" w16cid:durableId="500311567">
    <w:abstractNumId w:val="0"/>
  </w:num>
  <w:num w:numId="6" w16cid:durableId="1764648727">
    <w:abstractNumId w:val="3"/>
  </w:num>
  <w:num w:numId="7" w16cid:durableId="16845482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dirty" w:grammar="dirty"/>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62A7"/>
    <w:rsid w:val="00026B91"/>
    <w:rsid w:val="000322BD"/>
    <w:rsid w:val="00033CF5"/>
    <w:rsid w:val="00044D21"/>
    <w:rsid w:val="00054B7F"/>
    <w:rsid w:val="0005764D"/>
    <w:rsid w:val="00063A73"/>
    <w:rsid w:val="00076D07"/>
    <w:rsid w:val="000878F1"/>
    <w:rsid w:val="000A0599"/>
    <w:rsid w:val="000A1C7D"/>
    <w:rsid w:val="000A326B"/>
    <w:rsid w:val="000A32EC"/>
    <w:rsid w:val="000A39F2"/>
    <w:rsid w:val="000B274D"/>
    <w:rsid w:val="000B5325"/>
    <w:rsid w:val="000C5F08"/>
    <w:rsid w:val="000E42B7"/>
    <w:rsid w:val="000E7DF5"/>
    <w:rsid w:val="000F3007"/>
    <w:rsid w:val="00122B18"/>
    <w:rsid w:val="001401F5"/>
    <w:rsid w:val="00147C5A"/>
    <w:rsid w:val="00152CEF"/>
    <w:rsid w:val="001566E2"/>
    <w:rsid w:val="0016023C"/>
    <w:rsid w:val="0016410C"/>
    <w:rsid w:val="00170261"/>
    <w:rsid w:val="00171F70"/>
    <w:rsid w:val="001756AF"/>
    <w:rsid w:val="00186156"/>
    <w:rsid w:val="00197AF8"/>
    <w:rsid w:val="001A0A1E"/>
    <w:rsid w:val="001A28C3"/>
    <w:rsid w:val="001B1402"/>
    <w:rsid w:val="001C2097"/>
    <w:rsid w:val="001C40E8"/>
    <w:rsid w:val="001C74D1"/>
    <w:rsid w:val="001D3125"/>
    <w:rsid w:val="001F01F6"/>
    <w:rsid w:val="001F1F84"/>
    <w:rsid w:val="00200BD6"/>
    <w:rsid w:val="00216CA1"/>
    <w:rsid w:val="002252B0"/>
    <w:rsid w:val="00226929"/>
    <w:rsid w:val="00230669"/>
    <w:rsid w:val="002553FF"/>
    <w:rsid w:val="002604CF"/>
    <w:rsid w:val="002641FC"/>
    <w:rsid w:val="00274417"/>
    <w:rsid w:val="0028586D"/>
    <w:rsid w:val="00291A81"/>
    <w:rsid w:val="00292D96"/>
    <w:rsid w:val="002A7368"/>
    <w:rsid w:val="002B24D6"/>
    <w:rsid w:val="002B2D03"/>
    <w:rsid w:val="002B56EF"/>
    <w:rsid w:val="002B6602"/>
    <w:rsid w:val="002C0441"/>
    <w:rsid w:val="002C5DD1"/>
    <w:rsid w:val="002D17F1"/>
    <w:rsid w:val="002E1F0B"/>
    <w:rsid w:val="002E3B47"/>
    <w:rsid w:val="002F2DC2"/>
    <w:rsid w:val="00306674"/>
    <w:rsid w:val="0030725D"/>
    <w:rsid w:val="00310B3D"/>
    <w:rsid w:val="003122D4"/>
    <w:rsid w:val="00313E39"/>
    <w:rsid w:val="003253F2"/>
    <w:rsid w:val="00330211"/>
    <w:rsid w:val="00335CAF"/>
    <w:rsid w:val="00336E81"/>
    <w:rsid w:val="00343EBA"/>
    <w:rsid w:val="00352A6B"/>
    <w:rsid w:val="003574B2"/>
    <w:rsid w:val="00365011"/>
    <w:rsid w:val="0037047E"/>
    <w:rsid w:val="00380CE5"/>
    <w:rsid w:val="00386F51"/>
    <w:rsid w:val="003A1DC0"/>
    <w:rsid w:val="003A259D"/>
    <w:rsid w:val="003A6689"/>
    <w:rsid w:val="003A7EEA"/>
    <w:rsid w:val="003C4979"/>
    <w:rsid w:val="003C7A4C"/>
    <w:rsid w:val="003E109C"/>
    <w:rsid w:val="003E2C59"/>
    <w:rsid w:val="003E5C9D"/>
    <w:rsid w:val="003F0121"/>
    <w:rsid w:val="004111C7"/>
    <w:rsid w:val="0041347F"/>
    <w:rsid w:val="00416E66"/>
    <w:rsid w:val="004171B1"/>
    <w:rsid w:val="004254CA"/>
    <w:rsid w:val="004454E9"/>
    <w:rsid w:val="004655DE"/>
    <w:rsid w:val="00465BBD"/>
    <w:rsid w:val="0047191D"/>
    <w:rsid w:val="0047583E"/>
    <w:rsid w:val="00476A97"/>
    <w:rsid w:val="00490983"/>
    <w:rsid w:val="004A0142"/>
    <w:rsid w:val="004C180D"/>
    <w:rsid w:val="004E2E23"/>
    <w:rsid w:val="004E35FE"/>
    <w:rsid w:val="004E5C87"/>
    <w:rsid w:val="0052741D"/>
    <w:rsid w:val="005278E7"/>
    <w:rsid w:val="00527CEE"/>
    <w:rsid w:val="00527E13"/>
    <w:rsid w:val="00531962"/>
    <w:rsid w:val="00536B7E"/>
    <w:rsid w:val="005576F5"/>
    <w:rsid w:val="00561AD2"/>
    <w:rsid w:val="00567836"/>
    <w:rsid w:val="00571C31"/>
    <w:rsid w:val="00583FD3"/>
    <w:rsid w:val="00594F2B"/>
    <w:rsid w:val="005A10A7"/>
    <w:rsid w:val="005A3911"/>
    <w:rsid w:val="005B7AB8"/>
    <w:rsid w:val="005C35A4"/>
    <w:rsid w:val="005C5920"/>
    <w:rsid w:val="005E1C28"/>
    <w:rsid w:val="005E1FAB"/>
    <w:rsid w:val="005E5973"/>
    <w:rsid w:val="005F1CE3"/>
    <w:rsid w:val="006149EB"/>
    <w:rsid w:val="006321BD"/>
    <w:rsid w:val="00634379"/>
    <w:rsid w:val="00634CFD"/>
    <w:rsid w:val="0063536D"/>
    <w:rsid w:val="00636A90"/>
    <w:rsid w:val="006377D8"/>
    <w:rsid w:val="0064197C"/>
    <w:rsid w:val="00643D5F"/>
    <w:rsid w:val="00652511"/>
    <w:rsid w:val="00666027"/>
    <w:rsid w:val="006700BE"/>
    <w:rsid w:val="00675328"/>
    <w:rsid w:val="00687ADA"/>
    <w:rsid w:val="00697BE7"/>
    <w:rsid w:val="006B273B"/>
    <w:rsid w:val="006B5603"/>
    <w:rsid w:val="006C76DD"/>
    <w:rsid w:val="006D0841"/>
    <w:rsid w:val="006D2F1E"/>
    <w:rsid w:val="006D45C6"/>
    <w:rsid w:val="006E21E7"/>
    <w:rsid w:val="006F2A4C"/>
    <w:rsid w:val="00704AA5"/>
    <w:rsid w:val="007108DF"/>
    <w:rsid w:val="00715C72"/>
    <w:rsid w:val="00725748"/>
    <w:rsid w:val="00727BE3"/>
    <w:rsid w:val="00741B01"/>
    <w:rsid w:val="00750185"/>
    <w:rsid w:val="00750F9D"/>
    <w:rsid w:val="00752B19"/>
    <w:rsid w:val="00762C16"/>
    <w:rsid w:val="00765F24"/>
    <w:rsid w:val="00767379"/>
    <w:rsid w:val="00771267"/>
    <w:rsid w:val="007916EA"/>
    <w:rsid w:val="007B1764"/>
    <w:rsid w:val="007B417D"/>
    <w:rsid w:val="007B4E8C"/>
    <w:rsid w:val="007C1BE2"/>
    <w:rsid w:val="007C3248"/>
    <w:rsid w:val="007C5EE2"/>
    <w:rsid w:val="007C62E5"/>
    <w:rsid w:val="007D141C"/>
    <w:rsid w:val="007D29E5"/>
    <w:rsid w:val="007D4D90"/>
    <w:rsid w:val="007D5B91"/>
    <w:rsid w:val="007D7714"/>
    <w:rsid w:val="007F0D84"/>
    <w:rsid w:val="007F1207"/>
    <w:rsid w:val="007F34E2"/>
    <w:rsid w:val="00804D11"/>
    <w:rsid w:val="008126A1"/>
    <w:rsid w:val="00830264"/>
    <w:rsid w:val="00831E35"/>
    <w:rsid w:val="00833BB0"/>
    <w:rsid w:val="00836A52"/>
    <w:rsid w:val="00837590"/>
    <w:rsid w:val="00840F41"/>
    <w:rsid w:val="00852781"/>
    <w:rsid w:val="00881B30"/>
    <w:rsid w:val="00883AE3"/>
    <w:rsid w:val="008878C7"/>
    <w:rsid w:val="00890173"/>
    <w:rsid w:val="00893647"/>
    <w:rsid w:val="008A5A5E"/>
    <w:rsid w:val="008A743C"/>
    <w:rsid w:val="008B33C9"/>
    <w:rsid w:val="008B6299"/>
    <w:rsid w:val="008D01E7"/>
    <w:rsid w:val="008D6B97"/>
    <w:rsid w:val="008F1CCC"/>
    <w:rsid w:val="008F282B"/>
    <w:rsid w:val="00912B71"/>
    <w:rsid w:val="0091317E"/>
    <w:rsid w:val="00914B68"/>
    <w:rsid w:val="009247D3"/>
    <w:rsid w:val="00951A62"/>
    <w:rsid w:val="009570B0"/>
    <w:rsid w:val="009622E9"/>
    <w:rsid w:val="00974818"/>
    <w:rsid w:val="00991BFD"/>
    <w:rsid w:val="00992FF6"/>
    <w:rsid w:val="00994435"/>
    <w:rsid w:val="009A05FE"/>
    <w:rsid w:val="009B07BD"/>
    <w:rsid w:val="009B0E4E"/>
    <w:rsid w:val="009B4063"/>
    <w:rsid w:val="009B60AA"/>
    <w:rsid w:val="009B60EA"/>
    <w:rsid w:val="009D0E77"/>
    <w:rsid w:val="009E0989"/>
    <w:rsid w:val="009E6B31"/>
    <w:rsid w:val="009F4198"/>
    <w:rsid w:val="00A0308B"/>
    <w:rsid w:val="00A07096"/>
    <w:rsid w:val="00A15C28"/>
    <w:rsid w:val="00A15CEF"/>
    <w:rsid w:val="00A21984"/>
    <w:rsid w:val="00A30FF3"/>
    <w:rsid w:val="00A37891"/>
    <w:rsid w:val="00A44F60"/>
    <w:rsid w:val="00A45E82"/>
    <w:rsid w:val="00A5420A"/>
    <w:rsid w:val="00A56300"/>
    <w:rsid w:val="00A57ABD"/>
    <w:rsid w:val="00A6376E"/>
    <w:rsid w:val="00A722CF"/>
    <w:rsid w:val="00A85AA1"/>
    <w:rsid w:val="00A87189"/>
    <w:rsid w:val="00A926E3"/>
    <w:rsid w:val="00A972C7"/>
    <w:rsid w:val="00AA2C78"/>
    <w:rsid w:val="00AA3F0D"/>
    <w:rsid w:val="00AB67CD"/>
    <w:rsid w:val="00AC4132"/>
    <w:rsid w:val="00AC5B45"/>
    <w:rsid w:val="00AE03D3"/>
    <w:rsid w:val="00AE2A72"/>
    <w:rsid w:val="00AE6C18"/>
    <w:rsid w:val="00AE7799"/>
    <w:rsid w:val="00AF538A"/>
    <w:rsid w:val="00B02EF7"/>
    <w:rsid w:val="00B1396B"/>
    <w:rsid w:val="00B22141"/>
    <w:rsid w:val="00B230E5"/>
    <w:rsid w:val="00B330BA"/>
    <w:rsid w:val="00B357C2"/>
    <w:rsid w:val="00B708FB"/>
    <w:rsid w:val="00B70F15"/>
    <w:rsid w:val="00B84053"/>
    <w:rsid w:val="00B95EF2"/>
    <w:rsid w:val="00BA5F83"/>
    <w:rsid w:val="00BB6A66"/>
    <w:rsid w:val="00BC0AF4"/>
    <w:rsid w:val="00BC3F78"/>
    <w:rsid w:val="00BD5C88"/>
    <w:rsid w:val="00BE4186"/>
    <w:rsid w:val="00BE544F"/>
    <w:rsid w:val="00BE59CB"/>
    <w:rsid w:val="00BE5C00"/>
    <w:rsid w:val="00C20ABF"/>
    <w:rsid w:val="00C407A3"/>
    <w:rsid w:val="00C4226C"/>
    <w:rsid w:val="00C45C88"/>
    <w:rsid w:val="00C45EAC"/>
    <w:rsid w:val="00C502EE"/>
    <w:rsid w:val="00C5127F"/>
    <w:rsid w:val="00C54CCD"/>
    <w:rsid w:val="00C56410"/>
    <w:rsid w:val="00C574FA"/>
    <w:rsid w:val="00C6074A"/>
    <w:rsid w:val="00C6251C"/>
    <w:rsid w:val="00C676F3"/>
    <w:rsid w:val="00C87461"/>
    <w:rsid w:val="00C87FB7"/>
    <w:rsid w:val="00C91729"/>
    <w:rsid w:val="00C9313B"/>
    <w:rsid w:val="00C96851"/>
    <w:rsid w:val="00CA444B"/>
    <w:rsid w:val="00CA454D"/>
    <w:rsid w:val="00CB1069"/>
    <w:rsid w:val="00CC7D27"/>
    <w:rsid w:val="00CD384E"/>
    <w:rsid w:val="00CE11EE"/>
    <w:rsid w:val="00CF187D"/>
    <w:rsid w:val="00CF1F70"/>
    <w:rsid w:val="00CF48B1"/>
    <w:rsid w:val="00D07113"/>
    <w:rsid w:val="00D12C28"/>
    <w:rsid w:val="00D17F3C"/>
    <w:rsid w:val="00D270C3"/>
    <w:rsid w:val="00D41505"/>
    <w:rsid w:val="00DA1A86"/>
    <w:rsid w:val="00DA7638"/>
    <w:rsid w:val="00DC54CE"/>
    <w:rsid w:val="00DD0FCE"/>
    <w:rsid w:val="00DD669C"/>
    <w:rsid w:val="00DF3841"/>
    <w:rsid w:val="00E03276"/>
    <w:rsid w:val="00E03A36"/>
    <w:rsid w:val="00E15F4D"/>
    <w:rsid w:val="00E23BB6"/>
    <w:rsid w:val="00E32907"/>
    <w:rsid w:val="00E4345C"/>
    <w:rsid w:val="00E53413"/>
    <w:rsid w:val="00E62014"/>
    <w:rsid w:val="00E6334C"/>
    <w:rsid w:val="00E70743"/>
    <w:rsid w:val="00E77830"/>
    <w:rsid w:val="00E87E96"/>
    <w:rsid w:val="00E91B86"/>
    <w:rsid w:val="00E969E8"/>
    <w:rsid w:val="00EA263F"/>
    <w:rsid w:val="00EA35BF"/>
    <w:rsid w:val="00EC244C"/>
    <w:rsid w:val="00EC5675"/>
    <w:rsid w:val="00ED052D"/>
    <w:rsid w:val="00EE2F52"/>
    <w:rsid w:val="00EE67AD"/>
    <w:rsid w:val="00EE70A1"/>
    <w:rsid w:val="00EF0CE3"/>
    <w:rsid w:val="00EF6B9F"/>
    <w:rsid w:val="00F218EB"/>
    <w:rsid w:val="00F25CAB"/>
    <w:rsid w:val="00F334D9"/>
    <w:rsid w:val="00F4162B"/>
    <w:rsid w:val="00F62E83"/>
    <w:rsid w:val="00F85B72"/>
    <w:rsid w:val="00F9767F"/>
    <w:rsid w:val="00FA0037"/>
    <w:rsid w:val="00FB6673"/>
    <w:rsid w:val="00FD0D78"/>
    <w:rsid w:val="00FD4EE0"/>
    <w:rsid w:val="00FE214F"/>
    <w:rsid w:val="00FE3080"/>
    <w:rsid w:val="00FE3749"/>
    <w:rsid w:val="00FF0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BBD"/>
    <w:pPr>
      <w:ind w:left="720"/>
      <w:contextualSpacing/>
    </w:pPr>
  </w:style>
  <w:style w:type="paragraph" w:styleId="BodyText">
    <w:name w:val="Body Text"/>
    <w:basedOn w:val="Normal"/>
    <w:link w:val="BodyTextChar"/>
    <w:uiPriority w:val="99"/>
    <w:unhideWhenUsed/>
    <w:rsid w:val="00336E81"/>
    <w:pPr>
      <w:spacing w:after="120"/>
    </w:pPr>
  </w:style>
  <w:style w:type="character" w:customStyle="1" w:styleId="BodyTextChar">
    <w:name w:val="Body Text Char"/>
    <w:basedOn w:val="DefaultParagraphFont"/>
    <w:link w:val="BodyText"/>
    <w:uiPriority w:val="99"/>
    <w:rsid w:val="00336E81"/>
  </w:style>
  <w:style w:type="character" w:styleId="Hyperlink">
    <w:name w:val="Hyperlink"/>
    <w:basedOn w:val="DefaultParagraphFont"/>
    <w:uiPriority w:val="99"/>
    <w:unhideWhenUsed/>
    <w:rsid w:val="00336E81"/>
    <w:rPr>
      <w:color w:val="0563C1" w:themeColor="hyperlink"/>
      <w:u w:val="single"/>
    </w:rPr>
  </w:style>
  <w:style w:type="character" w:styleId="UnresolvedMention">
    <w:name w:val="Unresolved Mention"/>
    <w:basedOn w:val="DefaultParagraphFont"/>
    <w:uiPriority w:val="99"/>
    <w:semiHidden/>
    <w:unhideWhenUsed/>
    <w:rsid w:val="00336E81"/>
    <w:rPr>
      <w:color w:val="605E5C"/>
      <w:shd w:val="clear" w:color="auto" w:fill="E1DFDD"/>
    </w:rPr>
  </w:style>
  <w:style w:type="paragraph" w:styleId="BalloonText">
    <w:name w:val="Balloon Text"/>
    <w:basedOn w:val="Normal"/>
    <w:link w:val="BalloonTextChar"/>
    <w:uiPriority w:val="99"/>
    <w:semiHidden/>
    <w:unhideWhenUsed/>
    <w:rsid w:val="005C59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920"/>
    <w:rPr>
      <w:rFonts w:ascii="Segoe UI" w:hAnsi="Segoe UI" w:cs="Segoe UI"/>
      <w:sz w:val="18"/>
      <w:szCs w:val="18"/>
    </w:rPr>
  </w:style>
  <w:style w:type="paragraph" w:styleId="CommentText">
    <w:name w:val="annotation text"/>
    <w:basedOn w:val="Normal"/>
    <w:link w:val="CommentTextChar"/>
    <w:uiPriority w:val="99"/>
    <w:unhideWhenUsed/>
    <w:rsid w:val="00E969E8"/>
    <w:pPr>
      <w:spacing w:line="240" w:lineRule="auto"/>
    </w:pPr>
    <w:rPr>
      <w:sz w:val="20"/>
      <w:szCs w:val="20"/>
    </w:rPr>
  </w:style>
  <w:style w:type="character" w:customStyle="1" w:styleId="CommentTextChar">
    <w:name w:val="Comment Text Char"/>
    <w:basedOn w:val="DefaultParagraphFont"/>
    <w:link w:val="CommentText"/>
    <w:uiPriority w:val="99"/>
    <w:rsid w:val="00E969E8"/>
    <w:rPr>
      <w:sz w:val="20"/>
      <w:szCs w:val="20"/>
    </w:rPr>
  </w:style>
  <w:style w:type="character" w:styleId="CommentReference">
    <w:name w:val="annotation reference"/>
    <w:basedOn w:val="DefaultParagraphFont"/>
    <w:uiPriority w:val="99"/>
    <w:semiHidden/>
    <w:unhideWhenUsed/>
    <w:rsid w:val="00E969E8"/>
    <w:rPr>
      <w:sz w:val="16"/>
      <w:szCs w:val="16"/>
    </w:rPr>
  </w:style>
  <w:style w:type="paragraph" w:styleId="CommentSubject">
    <w:name w:val="annotation subject"/>
    <w:basedOn w:val="CommentText"/>
    <w:next w:val="CommentText"/>
    <w:link w:val="CommentSubjectChar"/>
    <w:uiPriority w:val="99"/>
    <w:semiHidden/>
    <w:unhideWhenUsed/>
    <w:rsid w:val="00A926E3"/>
    <w:rPr>
      <w:b/>
      <w:bCs/>
    </w:rPr>
  </w:style>
  <w:style w:type="character" w:customStyle="1" w:styleId="CommentSubjectChar">
    <w:name w:val="Comment Subject Char"/>
    <w:basedOn w:val="CommentTextChar"/>
    <w:link w:val="CommentSubject"/>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866602597">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297565850">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678844550">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38429765">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96825690">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FE6AF1-04E7-47BB-924D-5A99748E59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1462</Words>
  <Characters>8340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Lauren Studdard</cp:lastModifiedBy>
  <cp:revision>5</cp:revision>
  <dcterms:created xsi:type="dcterms:W3CDTF">2026-01-08T16:42:00Z</dcterms:created>
  <dcterms:modified xsi:type="dcterms:W3CDTF">2026-01-12T19:38:00Z</dcterms:modified>
</cp:coreProperties>
</file>