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F9CF2" w14:textId="216E1BF8" w:rsidR="009622E9" w:rsidRDefault="002604CF" w:rsidP="00935F25">
      <w:pPr>
        <w:spacing w:after="0" w:line="240" w:lineRule="auto"/>
        <w:jc w:val="both"/>
        <w:rPr>
          <w:sz w:val="24"/>
          <w:szCs w:val="24"/>
          <w:rFonts w:ascii="Times New Roman" w:hAnsi="Times New Roman" w:cs="Times New Roman"/>
        </w:rPr>
      </w:pPr>
      <w:r>
        <w:rPr>
          <w:sz w:val="24"/>
          <w:rFonts w:ascii="Times New Roman" w:hAnsi="Times New Roman"/>
        </w:rPr>
        <w:t xml:space="preserve">La Junta Estatal de Odontólogos (Junta) propone esta enmienda a la regla 22 TAC §116.3, relativa al registro y la renovación de laboratorios odontológicos.</w:t>
      </w:r>
      <w:r>
        <w:rPr>
          <w:sz w:val="24"/>
          <w:rFonts w:ascii="Times New Roman" w:hAnsi="Times New Roman"/>
        </w:rPr>
        <w:t xml:space="preserve"> </w:t>
      </w:r>
      <w:r>
        <w:rPr>
          <w:sz w:val="24"/>
          <w:rFonts w:ascii="Times New Roman" w:hAnsi="Times New Roman"/>
        </w:rPr>
        <w:t xml:space="preserve">La enmienda propuesta requiere ciertos documentos de identificación personal que un solicitante individual debe presentar en una solicitud inicial y solicitud de renovación de registro de laboratorio odontológico.</w:t>
      </w:r>
      <w:r>
        <w:rPr>
          <w:sz w:val="24"/>
          <w:rFonts w:ascii="Times New Roman" w:hAnsi="Times New Roman"/>
        </w:rPr>
        <w:t xml:space="preserve"> </w:t>
      </w:r>
      <w:r>
        <w:rPr>
          <w:sz w:val="24"/>
          <w:rFonts w:ascii="Times New Roman" w:hAnsi="Times New Roman"/>
        </w:rPr>
        <w:t xml:space="preserve">La enmienda propuesta es necesaria para garantizar que el documento de identificación personal del solicitante sea válido y que el solicitante sea legalmente elegible para tener un laboratorio odontológico en Texas.</w:t>
      </w:r>
      <w:r>
        <w:rPr>
          <w:sz w:val="24"/>
          <w:rFonts w:ascii="Times New Roman" w:hAnsi="Times New Roman"/>
        </w:rPr>
        <w:t xml:space="preserve"> </w:t>
      </w:r>
      <w:r>
        <w:rPr>
          <w:sz w:val="24"/>
          <w:rFonts w:ascii="Times New Roman" w:hAnsi="Times New Roman"/>
        </w:rPr>
        <w:t xml:space="preserve">La enmienda propuesta requeriría que el solicitante presente documentación apropiada que verifique su presencia legal y autorización de trabajo antes de que se emita o renueve un registro de laboratorio odontológico.</w:t>
      </w:r>
      <w:r>
        <w:rPr>
          <w:sz w:val="24"/>
          <w:rFonts w:ascii="Times New Roman" w:hAnsi="Times New Roman"/>
        </w:rPr>
        <w:t xml:space="preserve"> </w:t>
      </w:r>
      <w:r>
        <w:rPr>
          <w:sz w:val="24"/>
          <w:rFonts w:ascii="Times New Roman" w:hAnsi="Times New Roman"/>
        </w:rPr>
        <w:t xml:space="preserve">Además, la enmienda propuesta elimina referencias al Dental Laboratory Certification Council [Consejo de Certificación de Laboratorios Odontológicos] (DLCC).</w:t>
      </w:r>
      <w:r>
        <w:rPr>
          <w:sz w:val="24"/>
          <w:rFonts w:ascii="Times New Roman" w:hAnsi="Times New Roman"/>
        </w:rPr>
        <w:t xml:space="preserve"> </w:t>
      </w:r>
      <w:r>
        <w:rPr>
          <w:sz w:val="24"/>
          <w:rFonts w:ascii="Times New Roman" w:hAnsi="Times New Roman"/>
        </w:rPr>
        <w:t xml:space="preserve">El Capítulo 266 del Código de Ocupaciones de Texas relativo a la regulación de laboratorios odontológicos fue enmendado por el Proyecto de Ley 313 del Senado de la 85</w:t>
      </w:r>
      <w:r>
        <w:rPr>
          <w:sz w:val="24"/>
          <w:vertAlign w:val="superscript"/>
          <w:rFonts w:ascii="Times New Roman" w:hAnsi="Times New Roman"/>
        </w:rPr>
        <w:t xml:space="preserve">ta</w:t>
      </w:r>
      <w:r>
        <w:rPr>
          <w:sz w:val="24"/>
          <w:rFonts w:ascii="Times New Roman" w:hAnsi="Times New Roman"/>
        </w:rPr>
        <w:t xml:space="preserve"> Legislatura de Texas, Sesión Regular (2017).</w:t>
      </w:r>
      <w:r>
        <w:rPr>
          <w:sz w:val="24"/>
          <w:rFonts w:ascii="Times New Roman" w:hAnsi="Times New Roman"/>
        </w:rPr>
        <w:t xml:space="preserve"> </w:t>
      </w:r>
      <w:r>
        <w:rPr>
          <w:sz w:val="24"/>
          <w:rFonts w:ascii="Times New Roman" w:hAnsi="Times New Roman"/>
        </w:rPr>
        <w:t xml:space="preserve">El proyecto de ley derogó las secciones del capítulo que nombraban al DLCC.</w:t>
      </w:r>
      <w:r>
        <w:rPr>
          <w:sz w:val="24"/>
          <w:rFonts w:ascii="Times New Roman" w:hAnsi="Times New Roman"/>
        </w:rPr>
        <w:t xml:space="preserve"> </w:t>
      </w:r>
      <w:r>
        <w:rPr>
          <w:sz w:val="24"/>
          <w:rFonts w:ascii="Times New Roman" w:hAnsi="Times New Roman"/>
        </w:rPr>
        <w:t xml:space="preserve">La Junta ya no usa el consejo.</w:t>
      </w:r>
      <w:r>
        <w:rPr>
          <w:sz w:val="24"/>
          <w:rFonts w:ascii="Times New Roman" w:hAnsi="Times New Roman"/>
        </w:rPr>
        <w:t xml:space="preserve"> </w:t>
      </w:r>
    </w:p>
    <w:p w14:paraId="6AD5A627" w14:textId="77777777" w:rsidR="00935F25" w:rsidRPr="00935F25" w:rsidRDefault="00935F25" w:rsidP="00935F25">
      <w:pPr>
        <w:spacing w:after="0" w:line="240" w:lineRule="auto"/>
        <w:jc w:val="both"/>
        <w:rPr>
          <w:rFonts w:ascii="Times New Roman" w:eastAsia="Times New Roman" w:hAnsi="Times New Roman" w:cs="Times New Roman"/>
          <w:sz w:val="24"/>
          <w:szCs w:val="24"/>
        </w:rPr>
      </w:pPr>
    </w:p>
    <w:p w14:paraId="536349F4" w14:textId="77777777" w:rsidR="00935F25"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2319068F"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121D6B87" w14:textId="6F7ACA87" w:rsidR="00935F25"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para el primer período de cinco años en que la regla propuesta esté vigente, el beneficio público esperado como resultado de la regla propuesta será una reducción en el riesgo de fraude en solicitudes de registro, y la garantía de que los individuos propietarios de laboratorios odontológicos tengan autorización legal para trabajar o residir en Texas.</w:t>
      </w:r>
    </w:p>
    <w:p w14:paraId="0DB2C9C7"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1EF37F75" w14:textId="77777777" w:rsidR="00935F25" w:rsidRPr="002B24D6"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7E6D6CC3"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46F27D0F" w14:textId="77777777" w:rsidR="00935F25" w:rsidRPr="002B24D6"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LAS PEQUEÑAS Y MICRO 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5FB48AFA"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2C44938E" w14:textId="77777777" w:rsidR="00935F25" w:rsidRPr="002B24D6"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crea un nuevo reglamento; (6) la regla propuesta no limita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5DDD764A"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140FEE92" w14:textId="77777777" w:rsidR="00935F25" w:rsidRPr="002B24D6"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Registro de Texas.</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424009EA"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2DC93CA9" w14:textId="77777777" w:rsidR="00935F25"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73F35791" w14:textId="77777777" w:rsidR="005019F7" w:rsidRDefault="005019F7" w:rsidP="00935F25">
      <w:pPr>
        <w:spacing w:after="0" w:line="240" w:lineRule="auto"/>
        <w:jc w:val="both"/>
        <w:rPr>
          <w:rFonts w:ascii="Times New Roman" w:eastAsia="Times New Roman" w:hAnsi="Times New Roman" w:cs="Times New Roman"/>
          <w:sz w:val="24"/>
          <w:szCs w:val="24"/>
        </w:rPr>
      </w:pPr>
    </w:p>
    <w:p w14:paraId="38EBE7E6" w14:textId="3C44437A" w:rsidR="005019F7" w:rsidRPr="002B24D6" w:rsidRDefault="005019F7"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Referencia cruzada con la ley:</w:t>
      </w:r>
      <w:r>
        <w:rPr>
          <w:sz w:val="24"/>
          <w:rFonts w:ascii="Times New Roman" w:hAnsi="Times New Roman"/>
        </w:rPr>
        <w:t xml:space="preserve"> </w:t>
      </w:r>
      <w:r>
        <w:rPr>
          <w:sz w:val="24"/>
          <w:rFonts w:ascii="Times New Roman" w:hAnsi="Times New Roman"/>
        </w:rPr>
        <w:t xml:space="preserve">Código de Ocupaciones de Texas, Art. 254.001(a).</w:t>
      </w:r>
      <w:r>
        <w:rPr>
          <w:sz w:val="24"/>
          <w:rFonts w:ascii="Times New Roman" w:hAnsi="Times New Roman"/>
        </w:rPr>
        <w:t xml:space="preserve"> </w:t>
      </w:r>
      <w:r>
        <w:rPr>
          <w:sz w:val="24"/>
          <w:rFonts w:ascii="Times New Roman" w:hAnsi="Times New Roman"/>
        </w:rPr>
        <w:t xml:space="preserve">Título 8, Art. 1621 del Código de Estados Unidos.</w:t>
      </w:r>
      <w:r>
        <w:rPr>
          <w:sz w:val="24"/>
          <w:rFonts w:ascii="Times New Roman" w:hAnsi="Times New Roman"/>
        </w:rPr>
        <w:t xml:space="preserve"> </w:t>
      </w:r>
    </w:p>
    <w:p w14:paraId="1C28F364" w14:textId="77777777" w:rsidR="00935F25" w:rsidRPr="002B24D6" w:rsidRDefault="00935F25" w:rsidP="00935F25">
      <w:pPr>
        <w:spacing w:after="0" w:line="240" w:lineRule="auto"/>
        <w:jc w:val="both"/>
        <w:rPr>
          <w:rFonts w:ascii="Times New Roman" w:eastAsia="Times New Roman" w:hAnsi="Times New Roman" w:cs="Times New Roman"/>
          <w:sz w:val="24"/>
          <w:szCs w:val="24"/>
        </w:rPr>
      </w:pPr>
    </w:p>
    <w:p w14:paraId="6A0E0E8E" w14:textId="77777777" w:rsidR="00935F25" w:rsidRPr="002B24D6" w:rsidRDefault="00935F25" w:rsidP="00935F25">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073234B5" w14:textId="77777777" w:rsidR="00466F7A" w:rsidRPr="00757754" w:rsidRDefault="00466F7A" w:rsidP="00466F7A">
      <w:pPr>
        <w:spacing w:after="0" w:line="240" w:lineRule="auto"/>
        <w:rPr>
          <w:rFonts w:ascii="Times New Roman" w:hAnsi="Times New Roman" w:cs="Times New Roman"/>
          <w:sz w:val="24"/>
          <w:szCs w:val="24"/>
        </w:rPr>
      </w:pPr>
    </w:p>
    <w:p w14:paraId="035143E8" w14:textId="29B7ED6C" w:rsidR="00171F70" w:rsidRDefault="002604CF" w:rsidP="00465BBD">
      <w:pPr>
        <w:spacing w:after="0" w:line="240" w:lineRule="auto"/>
        <w:rPr>
          <w:sz w:val="24"/>
          <w:szCs w:val="24"/>
          <w:rFonts w:ascii="Times New Roman" w:eastAsia="Times New Roman" w:hAnsi="Times New Roman" w:cs="Times New Roman"/>
        </w:rPr>
      </w:pPr>
      <w:r>
        <w:rPr>
          <w:sz w:val="24"/>
          <w:rFonts w:ascii="Times New Roman" w:hAnsi="Times New Roman"/>
        </w:rPr>
        <w:t xml:space="preserve">&lt;regla&gt;</w:t>
      </w:r>
    </w:p>
    <w:p w14:paraId="101C2094" w14:textId="77777777" w:rsidR="002A42AF" w:rsidRPr="00B357C2" w:rsidRDefault="002A42AF" w:rsidP="00465BBD">
      <w:pPr>
        <w:spacing w:after="0" w:line="240" w:lineRule="auto"/>
        <w:rPr>
          <w:rFonts w:ascii="Times New Roman" w:eastAsia="Times New Roman" w:hAnsi="Times New Roman" w:cs="Times New Roman"/>
          <w:sz w:val="24"/>
          <w:szCs w:val="24"/>
        </w:rPr>
      </w:pPr>
    </w:p>
    <w:p w14:paraId="62D6448B" w14:textId="1031EAC8" w:rsidR="00C96851" w:rsidRDefault="00465BBD" w:rsidP="00465BBD">
      <w:pPr>
        <w:spacing w:after="0" w:line="240" w:lineRule="auto"/>
        <w:rPr>
          <w:sz w:val="24"/>
          <w:szCs w:val="24"/>
          <w:rFonts w:ascii="Times New Roman" w:eastAsia="Times New Roman" w:hAnsi="Times New Roman" w:cs="Times New Roman"/>
        </w:rPr>
      </w:pPr>
      <w:r>
        <w:rPr>
          <w:sz w:val="24"/>
          <w:rFonts w:ascii="Times New Roman" w:hAnsi="Times New Roman"/>
        </w:rPr>
        <w:t xml:space="preserve">§116.3.</w:t>
      </w:r>
      <w:r>
        <w:rPr>
          <w:sz w:val="24"/>
          <w:rFonts w:ascii="Times New Roman" w:hAnsi="Times New Roman"/>
        </w:rPr>
        <w:t xml:space="preserve"> </w:t>
      </w:r>
      <w:r>
        <w:rPr>
          <w:sz w:val="24"/>
          <w:shd w:val="clear" w:color="auto" w:fill="FFFFFF"/>
          <w:rFonts w:ascii="Times New Roman" w:hAnsi="Times New Roman"/>
        </w:rPr>
        <w:t xml:space="preserve">Registro y renovación.</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00B64557" w14:textId="6608B03A"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(a) Un laboratorio odontológico deberá registrarse según las disposiciones del Código de Ocupaciones, Apartado D, Artículos 266.151 - 266.154.</w:t>
      </w:r>
    </w:p>
    <w:p w14:paraId="5DD00C78" w14:textId="765D9C66"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(b) Para calificar para el registro de un laboratorio odontológico, el solicitante debe presentar una solicitud que incluya la siguiente información:</w:t>
      </w:r>
    </w:p>
    <w:p w14:paraId="3F2CB519" w14:textId="0045F483"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 el nombre, la dirección física, el número de teléfono y el correo electrónico del laboratorio;</w:t>
      </w:r>
    </w:p>
    <w:p w14:paraId="0E1DBD6D" w14:textId="16C1F805" w:rsidR="00946DFA" w:rsidRDefault="00946DFA" w:rsidP="00946DFA">
      <w:pPr>
        <w:rPr>
          <w:sz w:val="24"/>
          <w:szCs w:val="24"/>
          <w:rFonts w:ascii="Times New Roman" w:hAnsi="Times New Roman" w:cs="Times New Roman"/>
        </w:rPr>
      </w:pPr>
      <w:r>
        <w:rPr>
          <w:sz w:val="24"/>
          <w:rFonts w:ascii="Times New Roman" w:hAnsi="Times New Roman"/>
        </w:rPr>
        <w:t xml:space="preserve">(2) el nombre, la dirección, el número de teléfono y el correo electrónico del dueño del laboratorio;</w:t>
      </w:r>
    </w:p>
    <w:p w14:paraId="63BEEFC2" w14:textId="7E6C2F47" w:rsidR="00CC78E7" w:rsidRPr="007D419D" w:rsidRDefault="00CC78E7" w:rsidP="00CC78E7">
      <w:pPr>
        <w:rPr>
          <w:sz w:val="24"/>
          <w:szCs w:val="24"/>
          <w:u w:val="single"/>
          <w:rFonts w:ascii="Times New Roman" w:hAnsi="Times New Roman" w:cs="Times New Roman"/>
        </w:rPr>
      </w:pPr>
      <w:r>
        <w:rPr>
          <w:sz w:val="24"/>
          <w:u w:val="single"/>
          <w:rFonts w:ascii="Times New Roman" w:hAnsi="Times New Roman"/>
        </w:rPr>
        <w:t xml:space="preserve">(A) </w:t>
      </w:r>
      <w:bookmarkStart w:id="0" w:name="_Hlk218759968"/>
      <w:r>
        <w:rPr>
          <w:sz w:val="24"/>
          <w:u w:val="single"/>
          <w:rFonts w:ascii="Times New Roman" w:hAnsi="Times New Roman"/>
        </w:rPr>
        <w:t xml:space="preserve">si el dueño del laboratorio es una persona física, debe presentar documentación de prueba de ciudadanía de Estados Unidos, residencia legal permanente en Estados Unidos, o autorización federal de trabajo.</w:t>
      </w:r>
      <w:r>
        <w:rPr>
          <w:sz w:val="24"/>
          <w:u w:val="single"/>
          <w:rFonts w:ascii="Times New Roman" w:hAnsi="Times New Roman"/>
        </w:rPr>
        <w:t xml:space="preserve"> </w:t>
      </w:r>
      <w:bookmarkStart w:id="1" w:name="_Hlk218758224"/>
      <w:bookmarkStart w:id="2" w:name="_Hlk218759189"/>
      <w:r>
        <w:rPr>
          <w:sz w:val="24"/>
          <w:u w:val="single"/>
          <w:rFonts w:ascii="Times New Roman" w:hAnsi="Times New Roman"/>
        </w:rPr>
        <w:t xml:space="preserve">Este requisito se aplica para solicitudes iniciales y de renovación.</w:t>
      </w:r>
      <w:bookmarkEnd w:id="1"/>
      <w:r>
        <w:rPr>
          <w:sz w:val="24"/>
          <w:u w:val="single"/>
          <w:rFonts w:ascii="Times New Roman" w:hAnsi="Times New Roman"/>
        </w:rPr>
        <w:t xml:space="preserve"> </w:t>
      </w:r>
      <w:bookmarkEnd w:id="2"/>
      <w:r>
        <w:rPr>
          <w:sz w:val="24"/>
          <w:u w:val="single"/>
          <w:rFonts w:ascii="Times New Roman" w:hAnsi="Times New Roman"/>
        </w:rPr>
        <w:t xml:space="preserve">El solicitante debe presentar uno de los siguientes:</w:t>
      </w:r>
    </w:p>
    <w:p w14:paraId="2F00DAAA" w14:textId="77777777" w:rsidR="00CC78E7" w:rsidRDefault="00CC78E7" w:rsidP="00CC78E7">
      <w:pPr>
        <w:pStyle w:val="ListParagraph"/>
        <w:numPr>
          <w:ilvl w:val="0"/>
          <w:numId w:val="7"/>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una licencia de conducir o certificado de identificación del estado válidos y vigentes emitidos por un estado o territorio de los Estados Unidos, que cumpla con los requisitos mínimos de documentos y estándares de emisión para su reconocimiento federal conforme a la Ley REAL ID de 2005, Ley Pública 109-13, a menos que la licencia de conducir esté marcada como “Limited Term” [Plazo limitado] o “Temporary” [Temporal];</w:t>
      </w:r>
    </w:p>
    <w:p w14:paraId="64D65533" w14:textId="77777777" w:rsidR="00F2169A" w:rsidRDefault="00F2169A" w:rsidP="00F2169A">
      <w:pPr>
        <w:pStyle w:val="ListParagraph"/>
        <w:jc w:val="both"/>
        <w:rPr>
          <w:rFonts w:ascii="Times New Roman" w:hAnsi="Times New Roman" w:cs="Times New Roman"/>
          <w:sz w:val="24"/>
          <w:szCs w:val="24"/>
          <w:u w:val="single"/>
        </w:rPr>
      </w:pPr>
    </w:p>
    <w:p w14:paraId="633BC227" w14:textId="45D3CD65" w:rsidR="00F2169A" w:rsidRPr="007D419D" w:rsidRDefault="00F2169A" w:rsidP="00CC78E7">
      <w:pPr>
        <w:pStyle w:val="ListParagraph"/>
        <w:numPr>
          <w:ilvl w:val="0"/>
          <w:numId w:val="7"/>
        </w:numPr>
        <w:jc w:val="both"/>
        <w:rPr>
          <w:sz w:val="24"/>
          <w:szCs w:val="24"/>
          <w:u w:val="single"/>
          <w:rFonts w:ascii="Times New Roman" w:hAnsi="Times New Roman" w:cs="Times New Roman"/>
        </w:rPr>
      </w:pPr>
      <w:r>
        <w:rPr>
          <w:sz w:val="24"/>
          <w:u w:val="single"/>
          <w:rFonts w:ascii="Times New Roman" w:hAnsi="Times New Roman"/>
        </w:rPr>
        <w:t xml:space="preserve">una licencia de conducir o certificado de identificación del estado válidos y vigentes que no cumplan con los requisitos de REAL ID, emitidos por uno de los siguientes estados:</w:t>
      </w:r>
      <w:r>
        <w:rPr>
          <w:sz w:val="24"/>
          <w:u w:val="single"/>
          <w:rFonts w:ascii="Times New Roman" w:hAnsi="Times New Roman"/>
        </w:rPr>
        <w:t xml:space="preserve"> </w:t>
      </w:r>
      <w:r>
        <w:rPr>
          <w:sz w:val="24"/>
          <w:u w:val="single"/>
          <w:rFonts w:ascii="Times New Roman" w:hAnsi="Times New Roman"/>
        </w:rPr>
        <w:t xml:space="preserve">Alabama, Alaska, Arizona, Arkansas, Florida, Georgia, Idaho, Indiana, Iowa, Kansas, Kentucky, Louisiana, Maine, Michigan, Mississippi, Missouri, Montana, Nebraska, Nuevo Hampshire, Carolina del Norte, Dakota del Norte, Ohio, Oklahoma, Pensilvania, Carolina del Sur, Dakota del Sur, Tennessee, Texas, Virginia Occidental, Wisconsin, o Wyoming;</w:t>
      </w:r>
    </w:p>
    <w:p w14:paraId="4ED188E5" w14:textId="77777777" w:rsidR="00CC78E7" w:rsidRPr="007D419D" w:rsidRDefault="00CC78E7" w:rsidP="00CC78E7">
      <w:pPr>
        <w:pStyle w:val="ListParagraph"/>
        <w:ind w:left="1080"/>
        <w:jc w:val="both"/>
        <w:rPr>
          <w:rFonts w:ascii="Times New Roman" w:hAnsi="Times New Roman" w:cs="Times New Roman"/>
          <w:sz w:val="24"/>
          <w:szCs w:val="24"/>
          <w:u w:val="single"/>
        </w:rPr>
      </w:pPr>
    </w:p>
    <w:p w14:paraId="577D8A90" w14:textId="0D8F7938" w:rsidR="00CC78E7" w:rsidRPr="007D419D" w:rsidRDefault="00F2169A" w:rsidP="00CC78E7">
      <w:pPr>
        <w:pStyle w:val="ListParagraph"/>
        <w:numPr>
          <w:ilvl w:val="0"/>
          <w:numId w:val="7"/>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 pasaporte válido.</w:t>
      </w:r>
      <w:r>
        <w:rPr>
          <w:sz w:val="24"/>
          <w:u w:val="single"/>
          <w:rFonts w:ascii="Times New Roman" w:hAnsi="Times New Roman"/>
        </w:rPr>
        <w:t xml:space="preserve"> </w:t>
      </w:r>
      <w:r>
        <w:rPr>
          <w:sz w:val="24"/>
          <w:u w:val="single"/>
          <w:rFonts w:ascii="Times New Roman" w:hAnsi="Times New Roman"/>
        </w:rPr>
        <w:t xml:space="preserve">Se define “pasaporte válido” como:</w:t>
      </w:r>
      <w:r>
        <w:rPr>
          <w:sz w:val="24"/>
          <w:u w:val="single"/>
          <w:rFonts w:ascii="Times New Roman" w:hAnsi="Times New Roman"/>
        </w:rPr>
        <w:t xml:space="preserve"> </w:t>
      </w:r>
    </w:p>
    <w:p w14:paraId="06399A32" w14:textId="77777777" w:rsidR="00CC78E7" w:rsidRPr="007D419D" w:rsidRDefault="00CC78E7" w:rsidP="00CC78E7">
      <w:pPr>
        <w:pStyle w:val="ListParagraph"/>
        <w:rPr>
          <w:rFonts w:ascii="Times New Roman" w:hAnsi="Times New Roman" w:cs="Times New Roman"/>
          <w:sz w:val="24"/>
          <w:szCs w:val="24"/>
          <w:u w:val="single"/>
        </w:rPr>
      </w:pPr>
    </w:p>
    <w:p w14:paraId="6ADD2882" w14:textId="77777777" w:rsidR="00CC78E7" w:rsidRPr="007D419D" w:rsidRDefault="00CC78E7" w:rsidP="00CC78E7">
      <w:pPr>
        <w:pStyle w:val="ListParagraph"/>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 pasaporte o tarjeta de pasaporte vigente emitidos por el gobierno de Estados Unidos; o</w:t>
      </w:r>
      <w:r>
        <w:rPr>
          <w:sz w:val="24"/>
          <w:u w:val="single"/>
          <w:rFonts w:ascii="Times New Roman" w:hAnsi="Times New Roman"/>
        </w:rPr>
        <w:t xml:space="preserve"> </w:t>
      </w:r>
    </w:p>
    <w:p w14:paraId="4167F3D8" w14:textId="77777777" w:rsidR="00CC78E7" w:rsidRPr="007D419D" w:rsidRDefault="00CC78E7" w:rsidP="00CC78E7">
      <w:pPr>
        <w:pStyle w:val="ListParagraph"/>
        <w:ind w:left="2160"/>
        <w:jc w:val="both"/>
        <w:rPr>
          <w:rFonts w:ascii="Times New Roman" w:hAnsi="Times New Roman" w:cs="Times New Roman"/>
          <w:sz w:val="24"/>
          <w:szCs w:val="24"/>
          <w:u w:val="single"/>
        </w:rPr>
      </w:pPr>
    </w:p>
    <w:p w14:paraId="4C027F9B" w14:textId="77777777" w:rsidR="00CC78E7" w:rsidRPr="007D419D" w:rsidRDefault="00CC78E7" w:rsidP="00CC78E7">
      <w:pPr>
        <w:pStyle w:val="ListParagraph"/>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 pasaporte vigente emitido por el gobierno de otro país, acompañado de una cédula de residente permanente vigente o visa de inmigrante vigente, emitidos por el Departamento de Seguridad Nacional de Estados Unidos;</w:t>
      </w:r>
      <w:r>
        <w:rPr>
          <w:sz w:val="24"/>
          <w:u w:val="single"/>
          <w:rFonts w:ascii="Times New Roman" w:hAnsi="Times New Roman"/>
        </w:rPr>
        <w:t xml:space="preserve"> </w:t>
      </w:r>
    </w:p>
    <w:p w14:paraId="16E64ADB" w14:textId="77777777" w:rsidR="00CC78E7" w:rsidRPr="007D419D" w:rsidRDefault="00CC78E7" w:rsidP="00CC78E7">
      <w:pPr>
        <w:pStyle w:val="ListParagraph"/>
        <w:rPr>
          <w:rFonts w:ascii="Times New Roman" w:hAnsi="Times New Roman" w:cs="Times New Roman"/>
          <w:sz w:val="24"/>
          <w:szCs w:val="24"/>
          <w:u w:val="single"/>
        </w:rPr>
      </w:pPr>
    </w:p>
    <w:p w14:paraId="1BD27C77" w14:textId="7C34AEA7" w:rsidR="00CC78E7" w:rsidRPr="007D419D" w:rsidRDefault="00CC78E7" w:rsidP="00CC78E7">
      <w:pPr>
        <w:pStyle w:val="ListParagraph"/>
        <w:numPr>
          <w:ilvl w:val="0"/>
          <w:numId w:val="7"/>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una licencia de portación de armas de fuego válida y vigente emitida por el Departamento de Seguridad Pública de Texas conforme al Código de Gobierno, Capítulo 411, Apartado H;</w:t>
      </w:r>
    </w:p>
    <w:p w14:paraId="74FDB0F4" w14:textId="77777777" w:rsidR="00CC78E7" w:rsidRPr="007D419D" w:rsidRDefault="00CC78E7" w:rsidP="00CC78E7">
      <w:pPr>
        <w:pStyle w:val="ListParagraph"/>
        <w:jc w:val="both"/>
        <w:rPr>
          <w:rFonts w:ascii="Times New Roman" w:hAnsi="Times New Roman" w:cs="Times New Roman"/>
          <w:sz w:val="24"/>
          <w:szCs w:val="24"/>
          <w:u w:val="single"/>
        </w:rPr>
      </w:pPr>
    </w:p>
    <w:p w14:paraId="437A64AC" w14:textId="77777777" w:rsidR="00CC78E7" w:rsidRPr="007D419D" w:rsidRDefault="00CC78E7" w:rsidP="00CC78E7">
      <w:pPr>
        <w:pStyle w:val="ListParagraph"/>
        <w:numPr>
          <w:ilvl w:val="0"/>
          <w:numId w:val="7"/>
        </w:numPr>
        <w:jc w:val="both"/>
        <w:rPr>
          <w:sz w:val="24"/>
          <w:szCs w:val="24"/>
          <w:u w:val="single"/>
          <w:rFonts w:ascii="Times New Roman" w:hAnsi="Times New Roman" w:cs="Times New Roman"/>
        </w:rPr>
      </w:pPr>
      <w:r>
        <w:rPr>
          <w:sz w:val="24"/>
          <w:u w:val="single"/>
          <w:rFonts w:ascii="Times New Roman" w:hAnsi="Times New Roman"/>
        </w:rPr>
        <w:t xml:space="preserve">un Certificado de Naturalización de Estados Unidos (Formulario N-550 o N-570); o</w:t>
      </w:r>
    </w:p>
    <w:p w14:paraId="4974E0D7" w14:textId="77777777" w:rsidR="00CC78E7" w:rsidRPr="007D419D" w:rsidRDefault="00CC78E7" w:rsidP="00CC78E7">
      <w:pPr>
        <w:pStyle w:val="ListParagraph"/>
        <w:rPr>
          <w:rFonts w:ascii="Times New Roman" w:hAnsi="Times New Roman" w:cs="Times New Roman"/>
          <w:sz w:val="24"/>
          <w:szCs w:val="24"/>
          <w:u w:val="single"/>
        </w:rPr>
      </w:pPr>
    </w:p>
    <w:p w14:paraId="627F7D58" w14:textId="697B63FF" w:rsidR="00CC78E7" w:rsidRPr="00CC78E7" w:rsidRDefault="00F2169A" w:rsidP="00946DFA">
      <w:pPr>
        <w:pStyle w:val="ListParagraph"/>
        <w:numPr>
          <w:ilvl w:val="0"/>
          <w:numId w:val="7"/>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 Certificado de Ciudadanía de Estados Unidos (Formulario N-560 o N-561);</w:t>
      </w:r>
      <w:bookmarkEnd w:id="0"/>
    </w:p>
    <w:p w14:paraId="51E84828" w14:textId="2A5494A9"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(3) la fecha en que abrió o abrirá el laboratorio para operar;</w:t>
      </w:r>
    </w:p>
    <w:p w14:paraId="456EA170" w14:textId="09D7EC20"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(4) tipo de dominio;</w:t>
      </w:r>
    </w:p>
    <w:p w14:paraId="29A1DB9D" w14:textId="3B8A2D51"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(5) si el laboratorio es una corporación, el estado donde está constituida;</w:t>
      </w:r>
    </w:p>
    <w:p w14:paraId="70AB7E94" w14:textId="3EF93DEA"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(6) si el laboratorio es una corporación subsidiaria, el nombre de la compañía controlante, el estado donde está constituida la controlante, y el porcentaje de acciones de la subsidiaria que es propiedad de la controlante;</w:t>
      </w:r>
    </w:p>
    <w:p w14:paraId="44C63DAB" w14:textId="7AC90A67"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(7) el nombre, número de teléfono y correo electrónico del gerente del laboratorio;</w:t>
      </w:r>
    </w:p>
    <w:p w14:paraId="0B189152" w14:textId="0DA10DCD"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(8) si el propietario o gerente del laboratorio ha sido condenado alguna vez por un delito menor o delito grave, una explicación y disposición judicial de documentos;</w:t>
      </w:r>
    </w:p>
    <w:p w14:paraId="30468D6E" w14:textId="769B3907"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(9) si el solicitante alguna vez tuvo un registro de laboratorio en Texas, el nombre del propietario, el nombre del gerente, CDT de registro, nombre, dirección y nombre comercial del laboratorio, y número de registro del laboratorio;</w:t>
      </w:r>
    </w:p>
    <w:p w14:paraId="7D1AC0BB" w14:textId="3BE7AD4A"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(10) si el solicitante, propietario o gerente ha sido alguna vez objeto de una investigación disciplinaria o acción, incluida una orden de cese y desistimiento, en cualquier jurisdicción, una explicación de dicha investigación o acción;</w:t>
      </w:r>
    </w:p>
    <w:p w14:paraId="49F43A95" w14:textId="41EFD184"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(11) la firma notarizada del dueño o gerente general del laboratorio;</w:t>
      </w:r>
    </w:p>
    <w:p w14:paraId="54ED4242" w14:textId="54D0E67A"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(12) si se requiere un técnico odontológico certificado </w:t>
      </w:r>
      <w:r>
        <w:rPr>
          <w:sz w:val="24"/>
          <w:u w:val="single"/>
          <w:rFonts w:ascii="Times New Roman" w:hAnsi="Times New Roman"/>
        </w:rPr>
        <w:t xml:space="preserve">de</w:t>
      </w:r>
      <w:r>
        <w:rPr>
          <w:sz w:val="24"/>
          <w:rFonts w:ascii="Times New Roman" w:hAnsi="Times New Roman"/>
        </w:rPr>
        <w:t xml:space="preserve"> [ed] registro:</w:t>
      </w:r>
    </w:p>
    <w:p w14:paraId="67DBC5F8" w14:textId="0DA988C3"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(A) el nombre, la dirección residencial, el número de teléfono, el correo electrónico y la firma notarizada del técnico odontológico certificado de registro del laboratorio;</w:t>
      </w:r>
    </w:p>
    <w:p w14:paraId="30703F20" w14:textId="3BF0494D"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(B) una copia de la credencial de certificación actual del técnico odontológico certificado con la fecha de vencimiento indicada; y</w:t>
      </w:r>
    </w:p>
    <w:p w14:paraId="75E697B2" w14:textId="0C38EC1D"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(C) una declaración sobre si el técnico odontológico certificado de registro es el técnico odontológico certificado de registro para cualquier otro laboratorio odontológico en el estado de Texas y, en dicho caso, el número de registro de Texas del laboratorio odontológico; y</w:t>
      </w:r>
    </w:p>
    <w:p w14:paraId="50969036" w14:textId="7EC6BF8A"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(13) cualquier otra información que requiera la Junta.</w:t>
      </w:r>
    </w:p>
    <w:p w14:paraId="6C5A536C" w14:textId="5EE2A4BE"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(c) </w:t>
      </w:r>
      <w:r>
        <w:rPr>
          <w:sz w:val="24"/>
          <w:u w:val="single"/>
          <w:rFonts w:ascii="Times New Roman" w:hAnsi="Times New Roman"/>
        </w:rPr>
        <w:t xml:space="preserve">El personal de la Junta</w:t>
      </w:r>
      <w:r>
        <w:rPr>
          <w:sz w:val="24"/>
          <w:rFonts w:ascii="Times New Roman" w:hAnsi="Times New Roman"/>
        </w:rPr>
        <w:t xml:space="preserve"> [</w:t>
      </w:r>
      <w:r>
        <w:rPr>
          <w:sz w:val="24"/>
          <w:strike/>
          <w:rFonts w:ascii="Times New Roman" w:hAnsi="Times New Roman"/>
        </w:rPr>
        <w:t xml:space="preserve">El Dental Laboratory Certification Council [Consejo de Certificación de Laboratorios Odontológicos] (DLCC)</w:t>
      </w:r>
      <w:r>
        <w:rPr>
          <w:sz w:val="24"/>
          <w:rFonts w:ascii="Times New Roman" w:hAnsi="Times New Roman"/>
        </w:rPr>
        <w:t xml:space="preserve">] deberá examinar t odas las solicitudes de registro o renovación del registro para determinar si el solicitante cumple con los requisitos del Código de Ocupaciones, Capítulo 266..</w:t>
      </w:r>
      <w:r>
        <w:rPr>
          <w:sz w:val="24"/>
          <w:rFonts w:ascii="Times New Roman" w:hAnsi="Times New Roman"/>
        </w:rPr>
        <w:t xml:space="preserve"> </w:t>
      </w:r>
      <w:r>
        <w:rPr>
          <w:sz w:val="24"/>
          <w:u w:val="single"/>
          <w:rFonts w:ascii="Times New Roman" w:hAnsi="Times New Roman"/>
        </w:rPr>
        <w:t xml:space="preserve">Se deben presentar los siguientes materiales:</w:t>
      </w:r>
      <w:r>
        <w:rPr>
          <w:sz w:val="24"/>
          <w:rFonts w:ascii="Times New Roman" w:hAnsi="Times New Roman"/>
        </w:rPr>
        <w:t xml:space="preserve"> </w:t>
      </w:r>
      <w:r>
        <w:rPr>
          <w:sz w:val="24"/>
          <w:rFonts w:ascii="Times New Roman" w:hAnsi="Times New Roman"/>
        </w:rPr>
        <w:t xml:space="preserve">[</w:t>
      </w:r>
      <w:r>
        <w:rPr>
          <w:sz w:val="24"/>
          <w:strike/>
          <w:rFonts w:ascii="Times New Roman" w:hAnsi="Times New Roman"/>
        </w:rPr>
        <w:t xml:space="preserve">Las solicitudes se reenviarán con una recomendación de registro a la Junta si se cumple con los requisitos del Código de Ocupaciones, Capítulo 266, y este Capítulo, y se presentan los siguientes materiales:</w:t>
      </w:r>
      <w:r>
        <w:rPr>
          <w:sz w:val="24"/>
          <w:rFonts w:ascii="Times New Roman" w:hAnsi="Times New Roman"/>
        </w:rPr>
        <w:t xml:space="preserve">]</w:t>
      </w:r>
    </w:p>
    <w:p w14:paraId="782900EA" w14:textId="3DBA10A9"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 Una solicitud o renovación completa, con toda la información requerida;</w:t>
      </w:r>
    </w:p>
    <w:p w14:paraId="376DE28A" w14:textId="261DF49E"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(2) prueba del cumplimiento del Art. 116.6 de este capítulo;</w:t>
      </w:r>
    </w:p>
    <w:p w14:paraId="3370C04B" w14:textId="663E2757"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(3) el arancel apropiado; y</w:t>
      </w:r>
    </w:p>
    <w:p w14:paraId="673F1BA3" w14:textId="79781B8E"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(4) con vigencia a partir del 1 de enero de 2009, solo para registros iniciales y una vez cada tres años para la renovación del registro, prueba de haber completado la Evaluación de Jurisprudencia de Texas para laboratorios odontológicos.</w:t>
      </w:r>
      <w:r>
        <w:rPr>
          <w:sz w:val="24"/>
          <w:rFonts w:ascii="Times New Roman" w:hAnsi="Times New Roman"/>
        </w:rPr>
        <w:t xml:space="preserve"> </w:t>
      </w:r>
      <w:r>
        <w:rPr>
          <w:sz w:val="24"/>
          <w:rFonts w:ascii="Times New Roman" w:hAnsi="Times New Roman"/>
        </w:rPr>
        <w:t xml:space="preserve">La Evaluación de Jurisprudencia debe ser realizada por el dueño del laboratorio o el gerente general del laboratorio.</w:t>
      </w:r>
    </w:p>
    <w:p w14:paraId="4F426A5E" w14:textId="0FC60675"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(d) El dueño o gerente de cada laboratorio tendrá la obligación de notificar a la Junta por escrito dentro de los 60 días después de:</w:t>
      </w:r>
    </w:p>
    <w:p w14:paraId="4B671965" w14:textId="3AF27153"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(1) un cambio en titularidad o administración del laboratorio;</w:t>
      </w:r>
    </w:p>
    <w:p w14:paraId="13D6632F" w14:textId="01F24730"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(2) un cambio en la ubicación del laboratorio;</w:t>
      </w:r>
    </w:p>
    <w:p w14:paraId="1A2E4E65" w14:textId="46A19B3C"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(3) cierre del laboratorio;</w:t>
      </w:r>
    </w:p>
    <w:p w14:paraId="04F3CA29" w14:textId="40CD1960"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(4) un cambio de CDT designado, en cuyo caso la notificación debe estar acompañada de un comprobante de certificación CDT vigente para el CDT de reemplazo;</w:t>
      </w:r>
    </w:p>
    <w:p w14:paraId="52A61F26" w14:textId="17535AC8"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(5) un cambio de empleado designado, si el laboratorio está exento conforme al Art. 116.5 de este capítulo.</w:t>
      </w:r>
      <w:r>
        <w:rPr>
          <w:sz w:val="24"/>
          <w:rFonts w:ascii="Times New Roman" w:hAnsi="Times New Roman"/>
        </w:rPr>
        <w:t xml:space="preserve"> </w:t>
      </w:r>
      <w:r>
        <w:rPr>
          <w:sz w:val="24"/>
          <w:rFonts w:ascii="Times New Roman" w:hAnsi="Times New Roman"/>
        </w:rPr>
        <w:t xml:space="preserve">Un cambio de empleado designado requerirá prueba dentro de los seis (6) meses siguientes al cambio de que el empleado designado cumple con los requisitos de educación continua; o</w:t>
      </w:r>
    </w:p>
    <w:p w14:paraId="5C931914" w14:textId="73CE7B80"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(6) un cambio en la dirección postal del dueño o gerente del laboratorio;</w:t>
      </w:r>
    </w:p>
    <w:p w14:paraId="3966DA35" w14:textId="1A264402" w:rsidR="00946DFA" w:rsidRPr="00946DFA" w:rsidRDefault="00946DFA" w:rsidP="00946DFA">
      <w:pPr>
        <w:rPr>
          <w:sz w:val="24"/>
          <w:szCs w:val="24"/>
          <w:rFonts w:ascii="Times New Roman" w:hAnsi="Times New Roman" w:cs="Times New Roman"/>
        </w:rPr>
      </w:pPr>
      <w:r>
        <w:rPr>
          <w:sz w:val="24"/>
          <w:rFonts w:ascii="Times New Roman" w:hAnsi="Times New Roman"/>
        </w:rPr>
        <w:t xml:space="preserve">(e) Cualquier dueño de laboratorio que solicite el registro de un laboratorio nuevo y que tenga aranceles y/o sanciones pendientes pagaderas de un registro de laboratorio anterior cuando dicho laboratorio fue cerrado por incumplimiento del apartado (d) de esta sección debe primero remitir a la Junta todos los aranceles y sanciones pagaderos antes de que la </w:t>
      </w:r>
      <w:r>
        <w:rPr>
          <w:sz w:val="24"/>
          <w:u w:val="single"/>
          <w:rFonts w:ascii="Times New Roman" w:hAnsi="Times New Roman"/>
        </w:rPr>
        <w:t xml:space="preserve">Junta</w:t>
      </w:r>
      <w:r>
        <w:rPr>
          <w:sz w:val="24"/>
          <w:rFonts w:ascii="Times New Roman" w:hAnsi="Times New Roman"/>
        </w:rPr>
        <w:t xml:space="preserve"> [</w:t>
      </w:r>
      <w:r>
        <w:rPr>
          <w:sz w:val="24"/>
          <w:strike/>
          <w:rFonts w:ascii="Times New Roman" w:hAnsi="Times New Roman"/>
        </w:rPr>
        <w:t xml:space="preserve">DLCC</w:t>
      </w:r>
      <w:r>
        <w:rPr>
          <w:sz w:val="24"/>
          <w:rFonts w:ascii="Times New Roman" w:hAnsi="Times New Roman"/>
        </w:rPr>
        <w:t xml:space="preserve">] considere la solicitud de nuevo registro.</w:t>
      </w:r>
    </w:p>
    <w:p w14:paraId="54FFCE6B" w14:textId="39CDECC2" w:rsidR="00AC4132" w:rsidRPr="00B357C2" w:rsidRDefault="00946DFA" w:rsidP="00946DFA">
      <w:pPr>
        <w:rPr>
          <w:sz w:val="24"/>
          <w:szCs w:val="24"/>
          <w:rFonts w:ascii="Times New Roman" w:hAnsi="Times New Roman" w:cs="Times New Roman"/>
        </w:rPr>
      </w:pPr>
      <w:r>
        <w:rPr>
          <w:sz w:val="24"/>
          <w:rFonts w:ascii="Times New Roman" w:hAnsi="Times New Roman"/>
        </w:rPr>
        <w:t xml:space="preserve">(f) Un certificado de registro inicial emitido en virtud de este capítulo antes del 1 de septiembre de 2009, inclusive, vence el día 30 después de la fecha de emisión del certificado de registro si el titular del certificado de registro no paga el arancel de certificado de registro requerido antes de esa fecha, inclusive.</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B37116"/>
    <w:multiLevelType w:val="hybridMultilevel"/>
    <w:tmpl w:val="C504BC52"/>
    <w:lvl w:ilvl="0" w:tplc="D8CA6A6A">
      <w:start w:val="1"/>
      <w:numFmt w:val="lowerRoman"/>
      <w:lvlText w:val="(%1)"/>
      <w:lvlJc w:val="left"/>
      <w:pPr>
        <w:ind w:left="720" w:hanging="360"/>
      </w:pPr>
      <w:rPr>
        <w:rFonts w:hint="default"/>
        <w:u w:val="single"/>
      </w:rPr>
    </w:lvl>
    <w:lvl w:ilvl="1" w:tplc="6FA6CFFC">
      <w:start w:val="1"/>
      <w:numFmt w:val="lowerLetter"/>
      <w:lvlText w:val="%2."/>
      <w:lvlJc w:val="left"/>
      <w:pPr>
        <w:ind w:left="1440" w:hanging="360"/>
      </w:pPr>
      <w:rPr>
        <w:u w:val="singl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4"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8B672C"/>
    <w:multiLevelType w:val="hybridMultilevel"/>
    <w:tmpl w:val="5680BE88"/>
    <w:lvl w:ilvl="0" w:tplc="807C7DBC">
      <w:start w:val="1"/>
      <w:numFmt w:val="upperRoman"/>
      <w:lvlText w:val="(%1)"/>
      <w:lvlJc w:val="left"/>
      <w:pPr>
        <w:ind w:left="1440" w:hanging="720"/>
      </w:pPr>
      <w:rPr>
        <w:rFonts w:hint="default"/>
        <w:u w:val="singl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5694497">
    <w:abstractNumId w:val="3"/>
  </w:num>
  <w:num w:numId="2" w16cid:durableId="574903730">
    <w:abstractNumId w:val="7"/>
  </w:num>
  <w:num w:numId="3" w16cid:durableId="1076779440">
    <w:abstractNumId w:val="2"/>
  </w:num>
  <w:num w:numId="4" w16cid:durableId="543055480">
    <w:abstractNumId w:val="4"/>
  </w:num>
  <w:num w:numId="5" w16cid:durableId="1313489503">
    <w:abstractNumId w:val="6"/>
  </w:num>
  <w:num w:numId="6" w16cid:durableId="1872108283">
    <w:abstractNumId w:val="0"/>
  </w:num>
  <w:num w:numId="7" w16cid:durableId="500311567">
    <w:abstractNumId w:val="1"/>
  </w:num>
  <w:num w:numId="8" w16cid:durableId="17646487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22DB"/>
    <w:rsid w:val="000F3007"/>
    <w:rsid w:val="00104706"/>
    <w:rsid w:val="00122B18"/>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42AF"/>
    <w:rsid w:val="002A5516"/>
    <w:rsid w:val="002A7368"/>
    <w:rsid w:val="002B2D03"/>
    <w:rsid w:val="002B56EF"/>
    <w:rsid w:val="002B7F37"/>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66F7A"/>
    <w:rsid w:val="0047583E"/>
    <w:rsid w:val="00476A97"/>
    <w:rsid w:val="00490983"/>
    <w:rsid w:val="004A0142"/>
    <w:rsid w:val="004C180D"/>
    <w:rsid w:val="004E35FE"/>
    <w:rsid w:val="004E5C87"/>
    <w:rsid w:val="005019F7"/>
    <w:rsid w:val="005223AC"/>
    <w:rsid w:val="0052741D"/>
    <w:rsid w:val="005278E7"/>
    <w:rsid w:val="00527CEE"/>
    <w:rsid w:val="00531962"/>
    <w:rsid w:val="00531DD4"/>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5C6"/>
    <w:rsid w:val="006E21E7"/>
    <w:rsid w:val="006E54AD"/>
    <w:rsid w:val="006F2A4C"/>
    <w:rsid w:val="00704AA5"/>
    <w:rsid w:val="00715C72"/>
    <w:rsid w:val="00725748"/>
    <w:rsid w:val="00725C59"/>
    <w:rsid w:val="00726D52"/>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3FCE"/>
    <w:rsid w:val="00836A52"/>
    <w:rsid w:val="00837590"/>
    <w:rsid w:val="00840F41"/>
    <w:rsid w:val="00852781"/>
    <w:rsid w:val="00881B30"/>
    <w:rsid w:val="00883AE3"/>
    <w:rsid w:val="00890173"/>
    <w:rsid w:val="00893647"/>
    <w:rsid w:val="008A5A5E"/>
    <w:rsid w:val="008A743C"/>
    <w:rsid w:val="008B33C9"/>
    <w:rsid w:val="008B6299"/>
    <w:rsid w:val="008D01E7"/>
    <w:rsid w:val="008D6B97"/>
    <w:rsid w:val="008F1CCC"/>
    <w:rsid w:val="008F282B"/>
    <w:rsid w:val="009013AA"/>
    <w:rsid w:val="00912B71"/>
    <w:rsid w:val="0091317E"/>
    <w:rsid w:val="00914B68"/>
    <w:rsid w:val="009247D3"/>
    <w:rsid w:val="00935F25"/>
    <w:rsid w:val="00945870"/>
    <w:rsid w:val="00946DFA"/>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3F8"/>
    <w:rsid w:val="00A85AA1"/>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0D4"/>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C78E7"/>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669C"/>
    <w:rsid w:val="00DF3841"/>
    <w:rsid w:val="00E03276"/>
    <w:rsid w:val="00E03A36"/>
    <w:rsid w:val="00E15F4D"/>
    <w:rsid w:val="00E23BB6"/>
    <w:rsid w:val="00E4345C"/>
    <w:rsid w:val="00E4382E"/>
    <w:rsid w:val="00E53413"/>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2169A"/>
    <w:rsid w:val="00F218EB"/>
    <w:rsid w:val="00F25CAB"/>
    <w:rsid w:val="00F334D9"/>
    <w:rsid w:val="00F4162B"/>
    <w:rsid w:val="00F57022"/>
    <w:rsid w:val="00F62E83"/>
    <w:rsid w:val="00F9767F"/>
    <w:rsid w:val="00FA0037"/>
    <w:rsid w:val="00FA0038"/>
    <w:rsid w:val="00FB1345"/>
    <w:rsid w:val="00FB6673"/>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1750734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8765082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18262036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0400733">
      <w:bodyDiv w:val="1"/>
      <w:marLeft w:val="0"/>
      <w:marRight w:val="0"/>
      <w:marTop w:val="0"/>
      <w:marBottom w:val="0"/>
      <w:divBdr>
        <w:top w:val="none" w:sz="0" w:space="0" w:color="auto"/>
        <w:left w:val="none" w:sz="0" w:space="0" w:color="auto"/>
        <w:bottom w:val="none" w:sz="0" w:space="0" w:color="auto"/>
        <w:right w:val="none" w:sz="0" w:space="0" w:color="auto"/>
      </w:divBdr>
    </w:div>
    <w:div w:id="2045251698">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83753-DE97-4121-BC69-B59C9BB57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4</Pages>
  <Words>1526</Words>
  <Characters>8699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15</cp:revision>
  <dcterms:created xsi:type="dcterms:W3CDTF">2025-07-14T15:24:00Z</dcterms:created>
  <dcterms:modified xsi:type="dcterms:W3CDTF">2026-01-12T19:39:00Z</dcterms:modified>
</cp:coreProperties>
</file>