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DF9CF2" w14:textId="03B2F704" w:rsidR="009622E9" w:rsidRDefault="002604CF" w:rsidP="009622E9">
      <w:pPr>
        <w:rPr>
          <w:sz w:val="24"/>
          <w:szCs w:val="24"/>
          <w:rFonts w:ascii="Times New Roman" w:hAnsi="Times New Roman" w:cs="Times New Roman"/>
        </w:rPr>
      </w:pPr>
      <w:r>
        <w:rPr>
          <w:sz w:val="24"/>
          <w:rFonts w:ascii="Times New Roman" w:hAnsi="Times New Roman"/>
        </w:rPr>
        <w:t xml:space="preserve">La Junta Estatal de Odontólogos (Junta) propone esta enmienda a la regla 22 TAC §101.2, relativa a la obtención de una licencia odontológica mediante examen.</w:t>
      </w:r>
      <w:r>
        <w:rPr>
          <w:sz w:val="24"/>
          <w:rFonts w:ascii="Times New Roman" w:hAnsi="Times New Roman"/>
        </w:rPr>
        <w:t xml:space="preserve"> </w:t>
      </w:r>
      <w:r>
        <w:rPr>
          <w:sz w:val="24"/>
          <w:rFonts w:ascii="Times New Roman" w:hAnsi="Times New Roman"/>
        </w:rPr>
        <w:t xml:space="preserve">La regla propuesta refleja que CDCA-WREB-CITA (un administrador de exámenes dentales) y la American Board of Dental Examiners (elaboradora de los exámenes para obtener la licencia de ADEX) se han unido bajo una sola entidad: la American Board of Dental Examiners.</w:t>
      </w:r>
      <w:r>
        <w:rPr>
          <w:sz w:val="24"/>
          <w:rFonts w:ascii="Times New Roman" w:hAnsi="Times New Roman"/>
        </w:rPr>
        <w:t xml:space="preserve"> </w:t>
      </w:r>
    </w:p>
    <w:p w14:paraId="7AC0AD1A" w14:textId="04949FA6" w:rsidR="002604CF" w:rsidRPr="00757754" w:rsidRDefault="002604CF" w:rsidP="009622E9">
      <w:pPr>
        <w:rPr>
          <w:sz w:val="24"/>
          <w:szCs w:val="24"/>
          <w:rFonts w:ascii="Times New Roman" w:hAnsi="Times New Roman" w:cs="Times New Roman"/>
        </w:rPr>
      </w:pPr>
      <w:r>
        <w:rPr>
          <w:sz w:val="24"/>
          <w:rFonts w:ascii="Times New Roman" w:hAnsi="Times New Roman"/>
        </w:rPr>
        <w:t xml:space="preserve">NOTA FISCAL:</w:t>
      </w:r>
      <w:r>
        <w:rPr>
          <w:sz w:val="24"/>
          <w:rFonts w:ascii="Times New Roman" w:hAnsi="Times New Roman"/>
        </w:rPr>
        <w:t xml:space="preserve"> </w:t>
      </w:r>
      <w:r>
        <w:rPr>
          <w:sz w:val="24"/>
          <w:rFonts w:ascii="Times New Roman" w:hAnsi="Times New Roman"/>
        </w:rPr>
        <w:t xml:space="preserve">Casey Nichols, Directora Ejecutiva, ha determinado que en el primer período de cinco años en que esté vigente la regla propuesta, la regla propuesta no tenga implicancias previsibles relativas a costos o rentas de los gobiernos estatal o local.</w:t>
      </w:r>
      <w:r>
        <w:rPr>
          <w:sz w:val="24"/>
          <w:rFonts w:ascii="Times New Roman" w:hAnsi="Times New Roman"/>
        </w:rPr>
        <w:t xml:space="preserve"> </w:t>
      </w:r>
    </w:p>
    <w:p w14:paraId="4CBDAB64" w14:textId="77777777" w:rsidR="002604CF" w:rsidRPr="00757754" w:rsidRDefault="002604CF" w:rsidP="002604CF">
      <w:pPr>
        <w:spacing w:after="0" w:line="240" w:lineRule="auto"/>
        <w:rPr>
          <w:sz w:val="24"/>
          <w:szCs w:val="24"/>
          <w:rFonts w:ascii="Times New Roman" w:hAnsi="Times New Roman" w:cs="Times New Roman"/>
        </w:rPr>
      </w:pPr>
      <w:r>
        <w:rPr>
          <w:sz w:val="24"/>
          <w:rFonts w:ascii="Times New Roman" w:hAnsi="Times New Roman"/>
        </w:rPr>
        <w:t xml:space="preserve">NOTA PÚBLICA DE COSTOS Y BENEFICIOS:</w:t>
      </w:r>
      <w:r>
        <w:rPr>
          <w:sz w:val="24"/>
          <w:rFonts w:ascii="Times New Roman" w:hAnsi="Times New Roman"/>
        </w:rPr>
        <w:t xml:space="preserve"> </w:t>
      </w:r>
      <w:r>
        <w:rPr>
          <w:sz w:val="24"/>
          <w:rFonts w:ascii="Times New Roman" w:hAnsi="Times New Roman"/>
        </w:rPr>
        <w:t xml:space="preserve">Casey Nichols también ha determinado que, en el primer período de cinco años en que esté vigente la regla propuesta, el beneficio público anticipado como resultado de esta regla será la protección de la seguridad y el bienestar públicos.</w:t>
      </w:r>
      <w:r>
        <w:rPr>
          <w:sz w:val="24"/>
          <w:rFonts w:ascii="Times New Roman" w:hAnsi="Times New Roman"/>
        </w:rPr>
        <w:t xml:space="preserve"> </w:t>
      </w:r>
    </w:p>
    <w:p w14:paraId="2364F95D" w14:textId="77777777" w:rsidR="002604CF" w:rsidRPr="00757754" w:rsidRDefault="002604CF" w:rsidP="002604CF">
      <w:pPr>
        <w:spacing w:after="0" w:line="240" w:lineRule="auto"/>
        <w:rPr>
          <w:rFonts w:ascii="Times New Roman" w:hAnsi="Times New Roman" w:cs="Times New Roman"/>
          <w:sz w:val="24"/>
          <w:szCs w:val="24"/>
        </w:rPr>
      </w:pPr>
    </w:p>
    <w:p w14:paraId="73BF3D0C" w14:textId="77777777" w:rsidR="002604CF" w:rsidRPr="00757754" w:rsidRDefault="002604CF" w:rsidP="002604CF">
      <w:pPr>
        <w:spacing w:after="0" w:line="240" w:lineRule="auto"/>
        <w:rPr>
          <w:sz w:val="24"/>
          <w:szCs w:val="24"/>
          <w:rFonts w:ascii="Times New Roman" w:hAnsi="Times New Roman" w:cs="Times New Roman"/>
        </w:rPr>
      </w:pPr>
      <w:r>
        <w:rPr>
          <w:sz w:val="24"/>
          <w:rFonts w:ascii="Times New Roman" w:hAnsi="Times New Roman"/>
        </w:rPr>
        <w:t xml:space="preserve">DECLARACIÓN DE IMPACTO SOBRE EL EMPLEO LOCAL:</w:t>
      </w:r>
      <w:r>
        <w:rPr>
          <w:sz w:val="24"/>
          <w:rFonts w:ascii="Times New Roman" w:hAnsi="Times New Roman"/>
        </w:rPr>
        <w:t xml:space="preserve"> </w:t>
      </w:r>
      <w:r>
        <w:rPr>
          <w:sz w:val="24"/>
          <w:rFonts w:ascii="Times New Roman" w:hAnsi="Times New Roman"/>
        </w:rPr>
        <w:t xml:space="preserve">Casey Nichols también ha determinado que la regla propuesta no afecta las economías y el empleo locales.</w:t>
      </w:r>
      <w:r>
        <w:rPr>
          <w:sz w:val="24"/>
          <w:rFonts w:ascii="Times New Roman" w:hAnsi="Times New Roman"/>
        </w:rPr>
        <w:t xml:space="preserve"> </w:t>
      </w:r>
    </w:p>
    <w:p w14:paraId="0A95F484" w14:textId="77777777" w:rsidR="002604CF" w:rsidRPr="00757754" w:rsidRDefault="002604CF" w:rsidP="002604CF">
      <w:pPr>
        <w:spacing w:after="0" w:line="240" w:lineRule="auto"/>
        <w:rPr>
          <w:rFonts w:ascii="Times New Roman" w:hAnsi="Times New Roman" w:cs="Times New Roman"/>
          <w:sz w:val="24"/>
          <w:szCs w:val="24"/>
        </w:rPr>
      </w:pPr>
    </w:p>
    <w:p w14:paraId="35D228DF" w14:textId="77777777" w:rsidR="002604CF" w:rsidRPr="00757754" w:rsidRDefault="002604CF" w:rsidP="002604CF">
      <w:pPr>
        <w:spacing w:after="0" w:line="240" w:lineRule="auto"/>
        <w:rPr>
          <w:sz w:val="24"/>
          <w:szCs w:val="24"/>
          <w:rFonts w:ascii="Times New Roman" w:hAnsi="Times New Roman" w:cs="Times New Roman"/>
        </w:rPr>
      </w:pPr>
      <w:r>
        <w:rPr>
          <w:sz w:val="24"/>
          <w:rFonts w:ascii="Times New Roman" w:hAnsi="Times New Roman"/>
        </w:rPr>
        <w:t xml:space="preserve">DECLARACIÓN DE IMPACTO SOBRE LAS PEQUEÑAS Y MICROEMPRESAS Y LA COMUNIDAD RURAL:</w:t>
      </w:r>
      <w:r>
        <w:rPr>
          <w:sz w:val="24"/>
          <w:rFonts w:ascii="Times New Roman" w:hAnsi="Times New Roman"/>
        </w:rPr>
        <w:t xml:space="preserve"> </w:t>
      </w:r>
      <w:r>
        <w:rPr>
          <w:sz w:val="24"/>
          <w:rFonts w:ascii="Times New Roman" w:hAnsi="Times New Roman"/>
        </w:rPr>
        <w:t xml:space="preserve">Casey Nichols ha determinado que no se requiere una declaración de impacto económico y análisis de flexibilidad normativa para pequeñas empresas, microempresas y comunidades rurales para esta regla propuesta.</w:t>
      </w:r>
      <w:r>
        <w:rPr>
          <w:sz w:val="24"/>
          <w:rFonts w:ascii="Times New Roman" w:hAnsi="Times New Roman"/>
        </w:rPr>
        <w:t xml:space="preserve"> </w:t>
      </w:r>
    </w:p>
    <w:p w14:paraId="5A76C056" w14:textId="77777777" w:rsidR="002604CF" w:rsidRPr="00757754" w:rsidRDefault="002604CF" w:rsidP="002604CF">
      <w:pPr>
        <w:spacing w:after="0" w:line="240" w:lineRule="auto"/>
        <w:rPr>
          <w:rFonts w:ascii="Times New Roman" w:hAnsi="Times New Roman" w:cs="Times New Roman"/>
          <w:sz w:val="24"/>
          <w:szCs w:val="24"/>
        </w:rPr>
      </w:pPr>
    </w:p>
    <w:p w14:paraId="6D10C40D" w14:textId="4D565B94" w:rsidR="002604CF" w:rsidRDefault="002604CF" w:rsidP="002604CF">
      <w:pPr>
        <w:spacing w:after="0" w:line="240" w:lineRule="auto"/>
        <w:rPr>
          <w:sz w:val="24"/>
          <w:szCs w:val="24"/>
          <w:rFonts w:ascii="Times New Roman" w:hAnsi="Times New Roman" w:cs="Times New Roman"/>
        </w:rPr>
      </w:pPr>
      <w:r>
        <w:rPr>
          <w:sz w:val="24"/>
          <w:rFonts w:ascii="Times New Roman" w:hAnsi="Times New Roman"/>
        </w:rPr>
        <w:t xml:space="preserve">DECLARACIÓN DE IMPACTO SOBRE EL CRECIMIENTO DEL GOBIERNO:</w:t>
      </w:r>
      <w:r>
        <w:rPr>
          <w:sz w:val="24"/>
          <w:rFonts w:ascii="Times New Roman" w:hAnsi="Times New Roman"/>
        </w:rPr>
        <w:t xml:space="preserve"> </w:t>
      </w:r>
      <w:r>
        <w:rPr>
          <w:sz w:val="24"/>
          <w:rFonts w:ascii="Times New Roman" w:hAnsi="Times New Roman"/>
        </w:rPr>
        <w:t xml:space="preserve">La Junta ha determinado que, durante el primer período de cinco años en que esté vigente la regla, se aplicarían los siguientes efectos sobre el crecimiento gubernamental:</w:t>
      </w:r>
      <w:r>
        <w:rPr>
          <w:sz w:val="24"/>
          <w:rFonts w:ascii="Times New Roman" w:hAnsi="Times New Roman"/>
        </w:rPr>
        <w:t xml:space="preserve"> </w:t>
      </w:r>
      <w:r>
        <w:rPr>
          <w:sz w:val="24"/>
          <w:rFonts w:ascii="Times New Roman" w:hAnsi="Times New Roman"/>
        </w:rPr>
        <w:t xml:space="preserve">(1) la regla propuesta no crea ni elimina un programa gubernamental; (2) la aplicación de la regla propuesta no requiere la creación o eliminación de puestos de empleados; (3) la aplicación de la regla propuesta no requiere un aumento o disminución de las apropiaciones futuras; (4) la regla propuesta no requiere un aumento de las tasas pagadas a la agencia; (5) la regla propuesta no crea un nuevo reglamento; (6) la regla propuesta no amplía un reglamento existente; (7) la regla propuesta no aumenta ni disminuye el número de personas sujetas a ella; y (8) la regla propuesta no afecta positiva o negativamente a la economía del estado.</w:t>
      </w:r>
      <w:r>
        <w:rPr>
          <w:sz w:val="24"/>
          <w:rFonts w:ascii="Times New Roman" w:hAnsi="Times New Roman"/>
        </w:rPr>
        <w:t xml:space="preserve"> </w:t>
      </w:r>
    </w:p>
    <w:p w14:paraId="7DCE5659" w14:textId="77777777" w:rsidR="00352A6B" w:rsidRPr="00757754" w:rsidRDefault="00352A6B" w:rsidP="002604CF">
      <w:pPr>
        <w:spacing w:after="0" w:line="240" w:lineRule="auto"/>
        <w:rPr>
          <w:rFonts w:ascii="Times New Roman" w:hAnsi="Times New Roman" w:cs="Times New Roman"/>
          <w:sz w:val="24"/>
          <w:szCs w:val="24"/>
        </w:rPr>
      </w:pPr>
    </w:p>
    <w:p w14:paraId="373E0D73" w14:textId="77777777" w:rsidR="002604CF" w:rsidRPr="00757754" w:rsidRDefault="002604CF" w:rsidP="002604CF">
      <w:pPr>
        <w:spacing w:after="0" w:line="240" w:lineRule="auto"/>
        <w:rPr>
          <w:sz w:val="24"/>
          <w:szCs w:val="24"/>
          <w:rFonts w:ascii="Times New Roman" w:hAnsi="Times New Roman" w:cs="Times New Roman"/>
        </w:rPr>
      </w:pPr>
      <w:r>
        <w:rPr>
          <w:sz w:val="24"/>
          <w:rFonts w:ascii="Times New Roman" w:hAnsi="Times New Roman"/>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Pr>
          <w:sz w:val="24"/>
          <w:i/>
          <w:rFonts w:ascii="Times New Roman" w:hAnsi="Times New Roman"/>
        </w:rPr>
        <w:t xml:space="preserve">Registro de Texas</w:t>
      </w:r>
      <w:r>
        <w:rPr>
          <w:sz w:val="24"/>
          <w:rFonts w:ascii="Times New Roman" w:hAnsi="Times New Roman"/>
        </w:rPr>
        <w:t xml:space="preserve">.</w:t>
      </w:r>
      <w:r>
        <w:rPr>
          <w:sz w:val="24"/>
          <w:rFonts w:ascii="Times New Roman" w:hAnsi="Times New Roman"/>
        </w:rPr>
        <w:t xml:space="preserve"> </w:t>
      </w:r>
      <w:r>
        <w:rPr>
          <w:sz w:val="24"/>
          <w:rFonts w:ascii="Times New Roman" w:hAnsi="Times New Roman"/>
        </w:rPr>
        <w:t xml:space="preserve">Para que se tenga en cuenta a fines de esta creación de reglas, los comentarios deben:</w:t>
      </w:r>
      <w:r>
        <w:rPr>
          <w:sz w:val="24"/>
          <w:rFonts w:ascii="Times New Roman" w:hAnsi="Times New Roman"/>
        </w:rPr>
        <w:t xml:space="preserve"> </w:t>
      </w:r>
      <w:r>
        <w:rPr>
          <w:sz w:val="24"/>
          <w:rFonts w:ascii="Times New Roman" w:hAnsi="Times New Roman"/>
        </w:rPr>
        <w:t xml:space="preserve">(1) tener sello postal o enviarse antes del último día del período de comentarios; o (2) enviarse por fax o correo electrónico antes de la medianoche del último día del período de comentarios.</w:t>
      </w:r>
      <w:r>
        <w:rPr>
          <w:sz w:val="24"/>
          <w:rFonts w:ascii="Times New Roman" w:hAnsi="Times New Roman"/>
        </w:rPr>
        <w:t xml:space="preserve"> </w:t>
      </w:r>
    </w:p>
    <w:p w14:paraId="6296CFD0" w14:textId="77777777" w:rsidR="002604CF" w:rsidRPr="00757754" w:rsidRDefault="002604CF" w:rsidP="002604CF">
      <w:pPr>
        <w:spacing w:after="0" w:line="240" w:lineRule="auto"/>
        <w:rPr>
          <w:rFonts w:ascii="Times New Roman" w:hAnsi="Times New Roman" w:cs="Times New Roman"/>
          <w:sz w:val="24"/>
          <w:szCs w:val="24"/>
        </w:rPr>
      </w:pPr>
    </w:p>
    <w:p w14:paraId="7D89B7ED" w14:textId="51427E24" w:rsidR="002604CF" w:rsidRDefault="002604CF" w:rsidP="00F57022">
      <w:pPr>
        <w:rPr>
          <w:sz w:val="24"/>
          <w:szCs w:val="24"/>
          <w:rFonts w:ascii="Times New Roman" w:hAnsi="Times New Roman" w:cs="Times New Roman"/>
        </w:rPr>
      </w:pPr>
      <w:r>
        <w:rPr>
          <w:sz w:val="24"/>
          <w:rFonts w:ascii="Times New Roman" w:hAnsi="Times New Roman"/>
        </w:rPr>
        <w:t xml:space="preserve">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7EEE1BEB" w14:textId="6A0D08A7" w:rsidR="00E55372" w:rsidRPr="00757754" w:rsidRDefault="00E55372" w:rsidP="00F57022">
      <w:pPr>
        <w:rPr>
          <w:sz w:val="24"/>
          <w:szCs w:val="24"/>
          <w:rFonts w:ascii="Times New Roman" w:hAnsi="Times New Roman" w:cs="Times New Roman"/>
        </w:rPr>
      </w:pPr>
      <w:r>
        <w:rPr>
          <w:sz w:val="24"/>
          <w:rFonts w:ascii="Times New Roman" w:hAnsi="Times New Roman"/>
        </w:rPr>
        <w:t xml:space="preserve">Ninguna ley se ve afectada por esta regla propuesta.</w:t>
      </w:r>
    </w:p>
    <w:p w14:paraId="38454A84" w14:textId="77A6D6F3" w:rsidR="00E55A69" w:rsidRPr="00E55372" w:rsidRDefault="002604CF" w:rsidP="00E55372">
      <w:pPr>
        <w:spacing w:after="0" w:line="240" w:lineRule="auto"/>
        <w:rPr>
          <w:sz w:val="24"/>
          <w:szCs w:val="24"/>
          <w:rFonts w:ascii="Times New Roman" w:hAnsi="Times New Roman" w:cs="Times New Roman"/>
        </w:rPr>
      </w:pPr>
      <w:r>
        <w:rPr>
          <w:sz w:val="24"/>
          <w:rFonts w:ascii="Times New Roman" w:hAnsi="Times New Roman"/>
        </w:rPr>
        <w:t xml:space="preserve">Los asesores legales de la Junta han revisado la regla propuesta y determinado que su adopción se encuentra dentro de la autoridad de la Junta.</w:t>
      </w:r>
      <w:r>
        <w:rPr>
          <w:sz w:val="24"/>
          <w:rFonts w:ascii="Times New Roman" w:hAnsi="Times New Roman"/>
        </w:rPr>
        <w:t xml:space="preserve"> </w:t>
      </w:r>
    </w:p>
    <w:p w14:paraId="45D27804" w14:textId="2251D42B" w:rsidR="002604CF" w:rsidRPr="00757754" w:rsidRDefault="002604CF" w:rsidP="002604CF">
      <w:pPr>
        <w:spacing w:after="0" w:line="240" w:lineRule="auto"/>
        <w:rPr>
          <w:sz w:val="24"/>
          <w:szCs w:val="24"/>
          <w:rFonts w:ascii="Times New Roman" w:eastAsia="Times New Roman" w:hAnsi="Times New Roman" w:cs="Times New Roman"/>
        </w:rPr>
      </w:pPr>
      <w:r>
        <w:rPr>
          <w:sz w:val="24"/>
          <w:rFonts w:ascii="Times New Roman" w:hAnsi="Times New Roman"/>
        </w:rPr>
        <w:t xml:space="preserve">&lt;regla&gt;</w:t>
      </w:r>
    </w:p>
    <w:p w14:paraId="035143E8" w14:textId="77777777" w:rsidR="00171F70" w:rsidRPr="00B357C2" w:rsidRDefault="00171F70" w:rsidP="00465BBD">
      <w:pPr>
        <w:spacing w:after="0" w:line="240" w:lineRule="auto"/>
        <w:rPr>
          <w:rFonts w:ascii="Times New Roman" w:eastAsia="Times New Roman" w:hAnsi="Times New Roman" w:cs="Times New Roman"/>
          <w:sz w:val="24"/>
          <w:szCs w:val="24"/>
        </w:rPr>
      </w:pPr>
    </w:p>
    <w:p w14:paraId="62D6448B" w14:textId="15367B78" w:rsidR="00C96851" w:rsidRDefault="00465BBD" w:rsidP="00465BBD">
      <w:pPr>
        <w:spacing w:after="0" w:line="240" w:lineRule="auto"/>
        <w:rPr>
          <w:sz w:val="24"/>
          <w:szCs w:val="24"/>
          <w:rFonts w:ascii="Times New Roman" w:eastAsia="Times New Roman" w:hAnsi="Times New Roman" w:cs="Times New Roman"/>
        </w:rPr>
      </w:pPr>
      <w:r>
        <w:rPr>
          <w:sz w:val="24"/>
          <w:rFonts w:ascii="Times New Roman" w:hAnsi="Times New Roman"/>
        </w:rPr>
        <w:t xml:space="preserve">§101.2.</w:t>
      </w:r>
      <w:r>
        <w:rPr>
          <w:sz w:val="24"/>
          <w:rFonts w:ascii="Times New Roman" w:hAnsi="Times New Roman"/>
        </w:rPr>
        <w:t xml:space="preserve"> </w:t>
      </w:r>
      <w:r>
        <w:rPr>
          <w:sz w:val="24"/>
          <w:rFonts w:ascii="Times New Roman" w:hAnsi="Times New Roman"/>
        </w:rPr>
        <w:t xml:space="preserve">Obtención de licencia mediante examen</w:t>
      </w:r>
      <w:r>
        <w:rPr>
          <w:sz w:val="24"/>
          <w:rFonts w:ascii="Times New Roman" w:hAnsi="Times New Roman"/>
        </w:rPr>
        <w:t xml:space="preserve">.</w:t>
      </w:r>
    </w:p>
    <w:p w14:paraId="662B6A95" w14:textId="2AA4B49D" w:rsidR="00F57022" w:rsidRDefault="00F57022" w:rsidP="00465BBD">
      <w:pPr>
        <w:spacing w:after="0" w:line="240" w:lineRule="auto"/>
        <w:rPr>
          <w:rFonts w:ascii="Times New Roman" w:eastAsia="Times New Roman" w:hAnsi="Times New Roman" w:cs="Times New Roman"/>
          <w:sz w:val="24"/>
          <w:szCs w:val="24"/>
        </w:rPr>
      </w:pPr>
    </w:p>
    <w:p w14:paraId="4AE3F54E"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(a) Además de las calificaciones generales para obtener una licencia que se encuentran en el Artículo 101.1 de este capítulo (relativo a las Calificaciones generales para obtener una licencia), un solicitante de licencia mediante examen que se ha graduado de una escuela acreditada debe presentar pruebas de que:</w:t>
      </w:r>
    </w:p>
    <w:p w14:paraId="264688EE"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7AFFD2E5"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(1) Se ha graduado y recibido el título de “DDS” o “DMD” de una escuela odontológica acreditada por la Comisión de Acreditación Odontológica (Commission on Dental Accreditation, CODA) de la American Dental Association;</w:t>
      </w:r>
    </w:p>
    <w:p w14:paraId="434AA37C"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216EB579"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(2) Ha realizado y aprobado el examen para dentistas administrado por la Comisión Conjunta de Exámenes Odontológicos Nacionales (Joint Commission on National Dental Examinations) de la American Dental Association; y</w:t>
      </w:r>
    </w:p>
    <w:p w14:paraId="2F34AC3D"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12C06C5E"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(3) Ha completado y aprobado el examen clínico apropiado de odontología general en paciente vivo o simulación práctica administrado por una junta examinadora regional designada por la Junta.</w:t>
      </w:r>
    </w:p>
    <w:p w14:paraId="7B09FB35"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48F70EC6"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(b) Además de las calificaciones generales para obtener una licencia que se encuentran en el Artículo 101.1 de este capítulo, un solicitante de licencia mediante examen que se ha graduado de una escuela no acreditada debe presentar pruebas de que:</w:t>
      </w:r>
    </w:p>
    <w:p w14:paraId="48FE98C5"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6A37AB69"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(1) Se ha graduado de una escuela odontológica que no cuenta con acreditación de la CODA;</w:t>
      </w:r>
    </w:p>
    <w:p w14:paraId="74B7BFEC"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484AA656"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(2) Ha completado exitosamente la capacitación en una especialidad aprobada por la American Dental Association en un programa educativo aprobado por la CODA que consiste en al menos dos años de capacitación, según lo especificado por el Consejo de Educación Odontológica (Council on Dental Education);</w:t>
      </w:r>
    </w:p>
    <w:p w14:paraId="72DC16C4"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00626221"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(3) Ha realizado y aprobado el examen para dentistas administrado por la Comisión Conjunta de Exámenes Odontológicos Nacionales (Joint Commission on National Dental Examinations) de la American Dental Association; y</w:t>
      </w:r>
    </w:p>
    <w:p w14:paraId="595B4874"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1DF77A63"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(4) Ha completado y aprobado el examen clínico apropiado de odontología general en paciente vivo o simulación práctica administrado por una junta examinadora regional designada por la Junta.</w:t>
      </w:r>
      <w:r>
        <w:rPr>
          <w:sz w:val="24"/>
          <w:rFonts w:ascii="Times New Roman" w:hAnsi="Times New Roman"/>
        </w:rPr>
        <w:t xml:space="preserve"> </w:t>
      </w:r>
      <w:r>
        <w:rPr>
          <w:sz w:val="24"/>
          <w:rFonts w:ascii="Times New Roman" w:hAnsi="Times New Roman"/>
        </w:rPr>
        <w:t xml:space="preserve">Muchas juntas examinadoras regionales requieren aprobación previa por escrito del estado miembro participante para que los graduados de escuelas no acreditadas puedan realizar la prueba.</w:t>
      </w:r>
      <w:r>
        <w:rPr>
          <w:sz w:val="24"/>
          <w:rFonts w:ascii="Times New Roman" w:hAnsi="Times New Roman"/>
        </w:rPr>
        <w:t xml:space="preserve"> </w:t>
      </w:r>
      <w:r>
        <w:rPr>
          <w:sz w:val="24"/>
          <w:rFonts w:ascii="Times New Roman" w:hAnsi="Times New Roman"/>
        </w:rPr>
        <w:t xml:space="preserve">Antes de presentar una solicitud de examen regional, los graduados de escuelas no acreditadas deben obtener dicho permiso de la Junta.</w:t>
      </w:r>
    </w:p>
    <w:p w14:paraId="3A1EED93"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4F8CF06D"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(c) Juntas examinadoras regionales designadas.</w:t>
      </w:r>
    </w:p>
    <w:p w14:paraId="6CF05F22"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5C7E9DE0"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(1) Las siguientes juntas examinadoras regionales han sido designadas como aceptables por la Junta, hasta las fechas de entrada en vigencia mostradas:</w:t>
      </w:r>
    </w:p>
    <w:p w14:paraId="007B8467"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1D9317B8" w14:textId="7341F140"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(A) </w:t>
      </w:r>
      <w:r>
        <w:rPr>
          <w:sz w:val="24"/>
          <w:u w:val="single"/>
          <w:rFonts w:ascii="Times New Roman" w:hAnsi="Times New Roman"/>
        </w:rPr>
        <w:t xml:space="preserve">American Board of Dental Examiners (ADEX) </w:t>
      </w:r>
      <w:r>
        <w:rPr>
          <w:sz w:val="24"/>
          <w:rFonts w:ascii="Times New Roman" w:hAnsi="Times New Roman"/>
        </w:rPr>
        <w:t xml:space="preserve">[</w:t>
      </w:r>
      <w:r>
        <w:rPr>
          <w:sz w:val="24"/>
          <w:strike/>
          <w:rFonts w:ascii="Times New Roman" w:hAnsi="Times New Roman"/>
        </w:rPr>
        <w:t xml:space="preserve">The Commission on Dental Competency Assessments-The Western Regional Examining Board-The Council of Interstate Testing Agencies (CDCA-WREB-CITA)</w:t>
      </w:r>
      <w:r>
        <w:rPr>
          <w:sz w:val="24"/>
          <w:rFonts w:ascii="Times New Roman" w:hAnsi="Times New Roman"/>
        </w:rPr>
        <w:t xml:space="preserve">], 1 de agosto de 2022; y</w:t>
      </w:r>
    </w:p>
    <w:p w14:paraId="2F01BF71"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711A2FF9"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(B) Central Regional Dental Testing Service-States Resources for Testing and Assessments (CRDTS-SRTA), 6 de enero de 2025.</w:t>
      </w:r>
    </w:p>
    <w:p w14:paraId="14AF4474"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22E1E20C"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(2) Se aceptarán los resultados del examen durante siete años a partir de la fecha del examen.</w:t>
      </w:r>
    </w:p>
    <w:p w14:paraId="4EA999E9"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5B825849"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(d) Recuperación.</w:t>
      </w:r>
    </w:p>
    <w:p w14:paraId="3281BDCA"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365ABCFC"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(1) Si un solicitante de licencia odontológica de Texas reprueba tres intentos de examen clínico de odontología general en paciente vivo o simulación práctica, el solicitante debe completar 80 horas de </w:t>
      </w:r>
      <w:r>
        <w:rPr>
          <w:sz w:val="24"/>
          <w:rFonts w:ascii="Times New Roman" w:hAnsi="Times New Roman"/>
        </w:rPr>
        <w:t xml:space="preserve">un curso</w:t>
      </w:r>
      <w:r>
        <w:rPr>
          <w:sz w:val="24"/>
          <w:rFonts w:ascii="Times New Roman" w:hAnsi="Times New Roman"/>
        </w:rPr>
        <w:t xml:space="preserve"> clínico de recuperación a través de una escuela odontológica acreditada por la CODA </w:t>
      </w:r>
      <w:r>
        <w:rPr>
          <w:sz w:val="24"/>
          <w:rFonts w:ascii="Times New Roman" w:hAnsi="Times New Roman"/>
        </w:rPr>
        <w:t xml:space="preserve">aprobada por el personal de la Junta</w:t>
      </w:r>
      <w:r>
        <w:rPr>
          <w:sz w:val="24"/>
          <w:rFonts w:ascii="Times New Roman" w:hAnsi="Times New Roman"/>
        </w:rPr>
        <w:t xml:space="preserve">.</w:t>
      </w:r>
    </w:p>
    <w:p w14:paraId="5210D7C7"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6B32CB07"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(2) Si un solicitante reprueba cuatro o más intentos de examen clínico de odontología general en paciente vivo o simulación práctica, el solicitante debe completar uno de los siguientes:</w:t>
      </w:r>
    </w:p>
    <w:p w14:paraId="16A3AE4D"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20628309"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(A) la repetición del último año de un programa odontológico de grado de una escuela odontológica acreditada por la CODA; o</w:t>
      </w:r>
    </w:p>
    <w:p w14:paraId="7E49B98C"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6D60226C"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(B) </w:t>
      </w:r>
      <w:r>
        <w:rPr>
          <w:sz w:val="24"/>
          <w:rFonts w:ascii="Times New Roman" w:hAnsi="Times New Roman"/>
        </w:rPr>
        <w:t xml:space="preserve">la completación de</w:t>
      </w:r>
      <w:r>
        <w:rPr>
          <w:sz w:val="24"/>
          <w:rFonts w:ascii="Times New Roman" w:hAnsi="Times New Roman"/>
        </w:rPr>
        <w:t xml:space="preserve"> un curso de recuperación clínica ofrecido por una escuela odontológica acreditada por la CODA y </w:t>
      </w:r>
      <w:r>
        <w:rPr>
          <w:sz w:val="24"/>
          <w:rFonts w:ascii="Times New Roman" w:hAnsi="Times New Roman"/>
        </w:rPr>
        <w:t xml:space="preserve">aprobada por el personal de la Junta</w:t>
      </w:r>
      <w:r>
        <w:rPr>
          <w:sz w:val="24"/>
          <w:rFonts w:ascii="Times New Roman" w:hAnsi="Times New Roman"/>
        </w:rPr>
        <w:t xml:space="preserve">, que consista en no menos de 1,000 horas clínicas.</w:t>
      </w:r>
    </w:p>
    <w:p w14:paraId="1C157F19"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7FB9B147"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(3) Todos los programas de recuperatorio clínico requieren aprobación previa del personal de la Junta.</w:t>
      </w:r>
      <w:r>
        <w:rPr>
          <w:sz w:val="24"/>
          <w:rFonts w:ascii="Times New Roman" w:hAnsi="Times New Roman"/>
        </w:rPr>
        <w:t xml:space="preserve"> </w:t>
      </w:r>
      <w:r>
        <w:rPr>
          <w:sz w:val="24"/>
          <w:rFonts w:ascii="Times New Roman" w:hAnsi="Times New Roman"/>
        </w:rPr>
        <w:t xml:space="preserve">Los solicitantes serán responsables de buscar, identificar y obtener aprobación del personal de la Junta antes de registrarse en cualquier programa.</w:t>
      </w:r>
    </w:p>
    <w:p w14:paraId="11D2F0C6"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646B98B2" w14:textId="77777777" w:rsidR="00F57022" w:rsidRP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(4) El nuevo examen debe completarse dentro de los 18 meses </w:t>
      </w:r>
      <w:r>
        <w:rPr>
          <w:sz w:val="24"/>
          <w:rFonts w:ascii="Times New Roman" w:hAnsi="Times New Roman"/>
        </w:rPr>
        <w:t xml:space="preserve">a partir de la fecha </w:t>
      </w:r>
      <w:r>
        <w:rPr>
          <w:sz w:val="24"/>
          <w:rFonts w:ascii="Times New Roman" w:hAnsi="Times New Roman"/>
        </w:rPr>
        <w:t xml:space="preserve">en que se completó el curso de recuperación clínica o se repitió el último año de un programa odontológico de grado, según se requiere en el inciso (d)(1)-(3) de este artículo.</w:t>
      </w:r>
    </w:p>
    <w:p w14:paraId="0ECDCA6C" w14:textId="77777777" w:rsidR="00F57022" w:rsidRPr="00F57022" w:rsidRDefault="00F57022" w:rsidP="00F57022">
      <w:pPr>
        <w:spacing w:after="0" w:line="240" w:lineRule="auto"/>
        <w:rPr>
          <w:rFonts w:ascii="Times New Roman" w:eastAsia="Times New Roman" w:hAnsi="Times New Roman" w:cs="Times New Roman"/>
          <w:sz w:val="24"/>
          <w:szCs w:val="24"/>
        </w:rPr>
      </w:pPr>
    </w:p>
    <w:p w14:paraId="0BB1C6C0" w14:textId="07DB37FA" w:rsidR="00F57022" w:rsidRDefault="00F57022" w:rsidP="00F57022">
      <w:pPr>
        <w:spacing w:after="0" w:line="240" w:lineRule="auto"/>
        <w:rPr>
          <w:sz w:val="24"/>
          <w:szCs w:val="24"/>
          <w:rFonts w:ascii="Times New Roman" w:eastAsia="Times New Roman" w:hAnsi="Times New Roman" w:cs="Times New Roman"/>
        </w:rPr>
      </w:pPr>
      <w:r>
        <w:rPr>
          <w:sz w:val="24"/>
          <w:rFonts w:ascii="Times New Roman" w:hAnsi="Times New Roman"/>
        </w:rPr>
        <w:t xml:space="preserve">(e) Un solicitante que complete un examen después del 1 de enero de 2019 también debe completar exitosamente las secciones de periodoncia y prostodoncia de un examen aprobado conforme al incido (c)(1) de este artículo.</w:t>
      </w:r>
    </w:p>
    <w:p w14:paraId="73B04CEF" w14:textId="77777777" w:rsidR="0052741D" w:rsidRPr="00B357C2" w:rsidRDefault="0052741D" w:rsidP="00465BBD">
      <w:pPr>
        <w:spacing w:after="0" w:line="240" w:lineRule="auto"/>
        <w:rPr>
          <w:rFonts w:ascii="Times New Roman" w:eastAsia="Times New Roman" w:hAnsi="Times New Roman" w:cs="Times New Roman"/>
          <w:sz w:val="24"/>
          <w:szCs w:val="24"/>
        </w:rPr>
      </w:pPr>
    </w:p>
    <w:p w14:paraId="54FFCE6B" w14:textId="2073937F" w:rsidR="00AC4132" w:rsidRPr="00B357C2" w:rsidRDefault="00AC4132" w:rsidP="00B3790C">
      <w:pPr>
        <w:rPr>
          <w:rFonts w:ascii="Times New Roman" w:hAnsi="Times New Roman" w:cs="Times New Roman"/>
          <w:sz w:val="24"/>
          <w:szCs w:val="24"/>
        </w:rPr>
      </w:pPr>
    </w:p>
    <w:sectPr w:rsidR="00AC4132" w:rsidRPr="00B35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dirty" w:grammar="dirty"/>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62A7"/>
    <w:rsid w:val="00026B91"/>
    <w:rsid w:val="000322BD"/>
    <w:rsid w:val="00033CF5"/>
    <w:rsid w:val="00044D21"/>
    <w:rsid w:val="00054B7F"/>
    <w:rsid w:val="0005764D"/>
    <w:rsid w:val="00063A73"/>
    <w:rsid w:val="00076D07"/>
    <w:rsid w:val="000878F1"/>
    <w:rsid w:val="000A0599"/>
    <w:rsid w:val="000A1C7D"/>
    <w:rsid w:val="000A32EC"/>
    <w:rsid w:val="000A39F2"/>
    <w:rsid w:val="000B274D"/>
    <w:rsid w:val="000B5325"/>
    <w:rsid w:val="000C5F08"/>
    <w:rsid w:val="000E42B7"/>
    <w:rsid w:val="000E7DF5"/>
    <w:rsid w:val="000F3007"/>
    <w:rsid w:val="00104706"/>
    <w:rsid w:val="00147C5A"/>
    <w:rsid w:val="00152CEF"/>
    <w:rsid w:val="001566E2"/>
    <w:rsid w:val="0016410C"/>
    <w:rsid w:val="00170261"/>
    <w:rsid w:val="00171F70"/>
    <w:rsid w:val="001756AF"/>
    <w:rsid w:val="00186156"/>
    <w:rsid w:val="00197AF8"/>
    <w:rsid w:val="001A0A1E"/>
    <w:rsid w:val="001A28C3"/>
    <w:rsid w:val="001B1402"/>
    <w:rsid w:val="001C2097"/>
    <w:rsid w:val="001C40E8"/>
    <w:rsid w:val="001C74D1"/>
    <w:rsid w:val="001D3125"/>
    <w:rsid w:val="001F01F6"/>
    <w:rsid w:val="001F1F84"/>
    <w:rsid w:val="00200BD6"/>
    <w:rsid w:val="00202077"/>
    <w:rsid w:val="00216CA1"/>
    <w:rsid w:val="002252B0"/>
    <w:rsid w:val="00230669"/>
    <w:rsid w:val="002553FF"/>
    <w:rsid w:val="002604CF"/>
    <w:rsid w:val="002641FC"/>
    <w:rsid w:val="002648F2"/>
    <w:rsid w:val="00274417"/>
    <w:rsid w:val="0028586D"/>
    <w:rsid w:val="00291A81"/>
    <w:rsid w:val="00292D96"/>
    <w:rsid w:val="002A5516"/>
    <w:rsid w:val="002A7368"/>
    <w:rsid w:val="002B2D03"/>
    <w:rsid w:val="002B56EF"/>
    <w:rsid w:val="002C0441"/>
    <w:rsid w:val="002C5DD1"/>
    <w:rsid w:val="002E1F0B"/>
    <w:rsid w:val="002E3B47"/>
    <w:rsid w:val="002E6473"/>
    <w:rsid w:val="002F2DC2"/>
    <w:rsid w:val="00306674"/>
    <w:rsid w:val="0030725D"/>
    <w:rsid w:val="00310B3D"/>
    <w:rsid w:val="00311937"/>
    <w:rsid w:val="003122D4"/>
    <w:rsid w:val="00313E39"/>
    <w:rsid w:val="003253F2"/>
    <w:rsid w:val="00330211"/>
    <w:rsid w:val="00335CAF"/>
    <w:rsid w:val="00336E81"/>
    <w:rsid w:val="00343EBA"/>
    <w:rsid w:val="00352A6B"/>
    <w:rsid w:val="003574B2"/>
    <w:rsid w:val="0036237B"/>
    <w:rsid w:val="0037047E"/>
    <w:rsid w:val="00380CE5"/>
    <w:rsid w:val="00386F51"/>
    <w:rsid w:val="003A1DC0"/>
    <w:rsid w:val="003A259D"/>
    <w:rsid w:val="003A6689"/>
    <w:rsid w:val="003A7EEA"/>
    <w:rsid w:val="003C4979"/>
    <w:rsid w:val="003C7A4C"/>
    <w:rsid w:val="003E109C"/>
    <w:rsid w:val="003E2C59"/>
    <w:rsid w:val="003E5C9D"/>
    <w:rsid w:val="003F0121"/>
    <w:rsid w:val="00403D6C"/>
    <w:rsid w:val="004111C7"/>
    <w:rsid w:val="0041347F"/>
    <w:rsid w:val="00416E66"/>
    <w:rsid w:val="004171B1"/>
    <w:rsid w:val="004254CA"/>
    <w:rsid w:val="004454E9"/>
    <w:rsid w:val="004655DE"/>
    <w:rsid w:val="00465BBD"/>
    <w:rsid w:val="0047583E"/>
    <w:rsid w:val="00476A97"/>
    <w:rsid w:val="00490983"/>
    <w:rsid w:val="004A0142"/>
    <w:rsid w:val="004C180D"/>
    <w:rsid w:val="004E35FE"/>
    <w:rsid w:val="004E5C87"/>
    <w:rsid w:val="005223AC"/>
    <w:rsid w:val="0052741D"/>
    <w:rsid w:val="005278E7"/>
    <w:rsid w:val="00527CEE"/>
    <w:rsid w:val="00531962"/>
    <w:rsid w:val="00531DD4"/>
    <w:rsid w:val="00536B7E"/>
    <w:rsid w:val="005576F5"/>
    <w:rsid w:val="00561AD2"/>
    <w:rsid w:val="00567836"/>
    <w:rsid w:val="00571C31"/>
    <w:rsid w:val="00575A8A"/>
    <w:rsid w:val="00583FD3"/>
    <w:rsid w:val="00594F2B"/>
    <w:rsid w:val="005A10A7"/>
    <w:rsid w:val="005A3911"/>
    <w:rsid w:val="005B7AB8"/>
    <w:rsid w:val="005C35A4"/>
    <w:rsid w:val="005C5920"/>
    <w:rsid w:val="005E1C28"/>
    <w:rsid w:val="005E1FAB"/>
    <w:rsid w:val="005E5973"/>
    <w:rsid w:val="005F1CE3"/>
    <w:rsid w:val="006149EB"/>
    <w:rsid w:val="006321BD"/>
    <w:rsid w:val="00634379"/>
    <w:rsid w:val="00634CFD"/>
    <w:rsid w:val="0063536D"/>
    <w:rsid w:val="00636A90"/>
    <w:rsid w:val="006377D8"/>
    <w:rsid w:val="0064197C"/>
    <w:rsid w:val="00643D5F"/>
    <w:rsid w:val="00666027"/>
    <w:rsid w:val="006700BE"/>
    <w:rsid w:val="00675328"/>
    <w:rsid w:val="00687ADA"/>
    <w:rsid w:val="00697BE7"/>
    <w:rsid w:val="006B273B"/>
    <w:rsid w:val="006B5603"/>
    <w:rsid w:val="006C76DD"/>
    <w:rsid w:val="006D0841"/>
    <w:rsid w:val="006D2F1E"/>
    <w:rsid w:val="006D45C6"/>
    <w:rsid w:val="006E21E7"/>
    <w:rsid w:val="006E54AD"/>
    <w:rsid w:val="006F2A4C"/>
    <w:rsid w:val="00704AA5"/>
    <w:rsid w:val="00715C72"/>
    <w:rsid w:val="00725748"/>
    <w:rsid w:val="00725C59"/>
    <w:rsid w:val="00727BE3"/>
    <w:rsid w:val="00741B01"/>
    <w:rsid w:val="00750185"/>
    <w:rsid w:val="00750F9D"/>
    <w:rsid w:val="00752B19"/>
    <w:rsid w:val="00762C16"/>
    <w:rsid w:val="00765F24"/>
    <w:rsid w:val="00767379"/>
    <w:rsid w:val="00771267"/>
    <w:rsid w:val="007916EA"/>
    <w:rsid w:val="007B1764"/>
    <w:rsid w:val="007B417D"/>
    <w:rsid w:val="007B4E8C"/>
    <w:rsid w:val="007C1BE2"/>
    <w:rsid w:val="007C3248"/>
    <w:rsid w:val="007C5EE2"/>
    <w:rsid w:val="007C62E5"/>
    <w:rsid w:val="007D29E5"/>
    <w:rsid w:val="007D4D90"/>
    <w:rsid w:val="007D5B91"/>
    <w:rsid w:val="007D7714"/>
    <w:rsid w:val="007F0D84"/>
    <w:rsid w:val="007F1207"/>
    <w:rsid w:val="007F34E2"/>
    <w:rsid w:val="00804D11"/>
    <w:rsid w:val="008126A1"/>
    <w:rsid w:val="00831E35"/>
    <w:rsid w:val="00833BB0"/>
    <w:rsid w:val="00836A52"/>
    <w:rsid w:val="00837590"/>
    <w:rsid w:val="00840F41"/>
    <w:rsid w:val="00852781"/>
    <w:rsid w:val="00881B30"/>
    <w:rsid w:val="00883AE3"/>
    <w:rsid w:val="00893647"/>
    <w:rsid w:val="008A5A5E"/>
    <w:rsid w:val="008A743C"/>
    <w:rsid w:val="008B33C9"/>
    <w:rsid w:val="008B6299"/>
    <w:rsid w:val="008D01E7"/>
    <w:rsid w:val="008D6B97"/>
    <w:rsid w:val="008F1CCC"/>
    <w:rsid w:val="008F282B"/>
    <w:rsid w:val="00912B71"/>
    <w:rsid w:val="0091317E"/>
    <w:rsid w:val="00914B68"/>
    <w:rsid w:val="009247D3"/>
    <w:rsid w:val="00945870"/>
    <w:rsid w:val="00951A62"/>
    <w:rsid w:val="009570B0"/>
    <w:rsid w:val="009622E9"/>
    <w:rsid w:val="00974818"/>
    <w:rsid w:val="00991BFD"/>
    <w:rsid w:val="00992FF6"/>
    <w:rsid w:val="009A05FE"/>
    <w:rsid w:val="009B07BD"/>
    <w:rsid w:val="009B0E4E"/>
    <w:rsid w:val="009B4063"/>
    <w:rsid w:val="009B60AA"/>
    <w:rsid w:val="009B60EA"/>
    <w:rsid w:val="009C66C4"/>
    <w:rsid w:val="009D0E77"/>
    <w:rsid w:val="009E0989"/>
    <w:rsid w:val="009E6B31"/>
    <w:rsid w:val="009F4198"/>
    <w:rsid w:val="00A0308B"/>
    <w:rsid w:val="00A07096"/>
    <w:rsid w:val="00A15C28"/>
    <w:rsid w:val="00A15CEF"/>
    <w:rsid w:val="00A21984"/>
    <w:rsid w:val="00A30FF3"/>
    <w:rsid w:val="00A37891"/>
    <w:rsid w:val="00A45E82"/>
    <w:rsid w:val="00A5420A"/>
    <w:rsid w:val="00A56300"/>
    <w:rsid w:val="00A57ABD"/>
    <w:rsid w:val="00A6376E"/>
    <w:rsid w:val="00A722CF"/>
    <w:rsid w:val="00A85AA1"/>
    <w:rsid w:val="00A926E3"/>
    <w:rsid w:val="00A972C7"/>
    <w:rsid w:val="00AA3F0D"/>
    <w:rsid w:val="00AB67CD"/>
    <w:rsid w:val="00AC4132"/>
    <w:rsid w:val="00AC5B45"/>
    <w:rsid w:val="00AE03D3"/>
    <w:rsid w:val="00AE2A72"/>
    <w:rsid w:val="00AE6C18"/>
    <w:rsid w:val="00AE7799"/>
    <w:rsid w:val="00AF538A"/>
    <w:rsid w:val="00B02EF7"/>
    <w:rsid w:val="00B1396B"/>
    <w:rsid w:val="00B22141"/>
    <w:rsid w:val="00B230E5"/>
    <w:rsid w:val="00B330BA"/>
    <w:rsid w:val="00B357C2"/>
    <w:rsid w:val="00B3790C"/>
    <w:rsid w:val="00B708FB"/>
    <w:rsid w:val="00B70F15"/>
    <w:rsid w:val="00B84053"/>
    <w:rsid w:val="00B95EF2"/>
    <w:rsid w:val="00BA5F83"/>
    <w:rsid w:val="00BB6A66"/>
    <w:rsid w:val="00BC0AF4"/>
    <w:rsid w:val="00BC3F78"/>
    <w:rsid w:val="00BD5C88"/>
    <w:rsid w:val="00BE4186"/>
    <w:rsid w:val="00BE544F"/>
    <w:rsid w:val="00BE59CB"/>
    <w:rsid w:val="00BE5C00"/>
    <w:rsid w:val="00C20ABF"/>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44B"/>
    <w:rsid w:val="00CA454D"/>
    <w:rsid w:val="00CB1069"/>
    <w:rsid w:val="00CC33AC"/>
    <w:rsid w:val="00CD384E"/>
    <w:rsid w:val="00CE11EE"/>
    <w:rsid w:val="00CF187D"/>
    <w:rsid w:val="00CF1F70"/>
    <w:rsid w:val="00CF48B1"/>
    <w:rsid w:val="00D07113"/>
    <w:rsid w:val="00D12C28"/>
    <w:rsid w:val="00D17F3C"/>
    <w:rsid w:val="00D41505"/>
    <w:rsid w:val="00D9062B"/>
    <w:rsid w:val="00DA1A86"/>
    <w:rsid w:val="00DA633D"/>
    <w:rsid w:val="00DA7638"/>
    <w:rsid w:val="00DC54CE"/>
    <w:rsid w:val="00DD0FCE"/>
    <w:rsid w:val="00DD669C"/>
    <w:rsid w:val="00DF3841"/>
    <w:rsid w:val="00E03276"/>
    <w:rsid w:val="00E03A36"/>
    <w:rsid w:val="00E15F4D"/>
    <w:rsid w:val="00E23BB6"/>
    <w:rsid w:val="00E4345C"/>
    <w:rsid w:val="00E53413"/>
    <w:rsid w:val="00E55372"/>
    <w:rsid w:val="00E55A69"/>
    <w:rsid w:val="00E62014"/>
    <w:rsid w:val="00E6334C"/>
    <w:rsid w:val="00E70743"/>
    <w:rsid w:val="00E77830"/>
    <w:rsid w:val="00E87E96"/>
    <w:rsid w:val="00E969E8"/>
    <w:rsid w:val="00EA263F"/>
    <w:rsid w:val="00EA35BF"/>
    <w:rsid w:val="00EC244C"/>
    <w:rsid w:val="00ED052D"/>
    <w:rsid w:val="00EE67AD"/>
    <w:rsid w:val="00EE70A1"/>
    <w:rsid w:val="00EF0CE3"/>
    <w:rsid w:val="00EF6B9F"/>
    <w:rsid w:val="00F06585"/>
    <w:rsid w:val="00F218EB"/>
    <w:rsid w:val="00F25CAB"/>
    <w:rsid w:val="00F334D9"/>
    <w:rsid w:val="00F4162B"/>
    <w:rsid w:val="00F57022"/>
    <w:rsid w:val="00F62E83"/>
    <w:rsid w:val="00F9767F"/>
    <w:rsid w:val="00FA0037"/>
    <w:rsid w:val="00FB1345"/>
    <w:rsid w:val="00FB6673"/>
    <w:rsid w:val="00FD4EE0"/>
    <w:rsid w:val="00FE214F"/>
    <w:rsid w:val="00FE3080"/>
    <w:rsid w:val="00FE3749"/>
    <w:rsid w:val="00FF0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59933537">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7DCEE-28F7-4B9C-AA68-95FBB8F4C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Pages>
  <Words>1055</Words>
  <Characters>6019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Lauren Studdard</cp:lastModifiedBy>
  <cp:revision>7</cp:revision>
  <dcterms:created xsi:type="dcterms:W3CDTF">2025-07-14T15:24:00Z</dcterms:created>
  <dcterms:modified xsi:type="dcterms:W3CDTF">2025-11-25T16:44:00Z</dcterms:modified>
</cp:coreProperties>
</file>