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F9CF2" w14:textId="2C4B61C8" w:rsidR="009622E9" w:rsidRDefault="002604CF" w:rsidP="009622E9">
      <w:pPr>
        <w:rPr>
          <w:rFonts w:ascii="Times New Roman" w:hAnsi="Times New Roman" w:cs="Times New Roman"/>
          <w:sz w:val="24"/>
          <w:szCs w:val="24"/>
        </w:rPr>
      </w:pPr>
      <w:r>
        <w:rPr>
          <w:rFonts w:ascii="Times New Roman" w:hAnsi="Times New Roman"/>
          <w:sz w:val="24"/>
        </w:rPr>
        <w:t xml:space="preserve">La Junta Estatal de Odontólogos (Junta) propone esta enmienda a la regla 22 TAC §104.1, acerca de los requisitos de educación continua. La regla propuesta refleja que CDCA-WREB-CITA (un administrador de exámenes dentales) y la American Board of Dental Examiners (elaboradora de </w:t>
      </w:r>
      <w:r w:rsidR="006E332A">
        <w:rPr>
          <w:rFonts w:ascii="Times New Roman" w:hAnsi="Times New Roman"/>
          <w:sz w:val="24"/>
        </w:rPr>
        <w:t xml:space="preserve">exámenes </w:t>
      </w:r>
      <w:r w:rsidR="006E332A" w:rsidRPr="006E332A">
        <w:rPr>
          <w:rFonts w:ascii="Times New Roman" w:hAnsi="Times New Roman"/>
          <w:sz w:val="24"/>
        </w:rPr>
        <w:t>para obtener la licencia de</w:t>
      </w:r>
      <w:r w:rsidR="006E332A">
        <w:rPr>
          <w:rFonts w:ascii="Times New Roman" w:hAnsi="Times New Roman"/>
          <w:sz w:val="24"/>
        </w:rPr>
        <w:t xml:space="preserve"> </w:t>
      </w:r>
      <w:r>
        <w:rPr>
          <w:rFonts w:ascii="Times New Roman" w:hAnsi="Times New Roman"/>
          <w:sz w:val="24"/>
        </w:rPr>
        <w:t xml:space="preserve">ADEX) se han unido bajo una sola entidad: la American Board of Dental Examiners. </w:t>
      </w:r>
    </w:p>
    <w:p w14:paraId="7AC0AD1A" w14:textId="04949FA6"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en el primer período de cinco años en que esté vigente la regla propuesta, el beneficio público anticipado como resultado de esta regla será la protección de la seguridad y el bienestar públicos.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445A3A77"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4091BE3B" w:rsidR="002604CF" w:rsidRDefault="002604CF" w:rsidP="00F57022">
      <w:pPr>
        <w:rPr>
          <w:rFonts w:ascii="Times New Roman" w:hAnsi="Times New Roman" w:cs="Times New Roman"/>
          <w:sz w:val="24"/>
          <w:szCs w:val="24"/>
        </w:rPr>
      </w:pPr>
      <w:r>
        <w:rPr>
          <w:rFonts w:ascii="Times New Roman" w:hAnsi="Times New Roman"/>
          <w:sz w:val="24"/>
        </w:rPr>
        <w:t>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323BB806" w14:textId="67823902" w:rsidR="0086138E" w:rsidRPr="00757754" w:rsidRDefault="0086138E" w:rsidP="00F57022">
      <w:pPr>
        <w:rPr>
          <w:rFonts w:ascii="Times New Roman" w:hAnsi="Times New Roman" w:cs="Times New Roman"/>
          <w:sz w:val="24"/>
          <w:szCs w:val="24"/>
        </w:rPr>
      </w:pPr>
      <w:r>
        <w:rPr>
          <w:rFonts w:ascii="Times New Roman" w:hAnsi="Times New Roman"/>
          <w:sz w:val="24"/>
        </w:rPr>
        <w:t xml:space="preserve">Ninguna ley se ve afectada por esta regla propuesta. </w:t>
      </w:r>
    </w:p>
    <w:p w14:paraId="767D73DA" w14:textId="67F138CD" w:rsidR="002604CF" w:rsidRPr="00757754" w:rsidRDefault="002604CF" w:rsidP="00F15433">
      <w:pPr>
        <w:spacing w:after="0" w:line="240" w:lineRule="auto"/>
        <w:rPr>
          <w:rFonts w:ascii="Times New Roman" w:hAnsi="Times New Roman" w:cs="Times New Roman"/>
          <w:sz w:val="24"/>
          <w:szCs w:val="24"/>
        </w:rPr>
      </w:pPr>
      <w:r>
        <w:rPr>
          <w:rFonts w:ascii="Times New Roman" w:hAnsi="Times New Roman"/>
          <w:sz w:val="24"/>
        </w:rPr>
        <w:lastRenderedPageBreak/>
        <w:t xml:space="preserve">Los asesores legales de la Junta han revisado la regla propuesta y determinado que su adopción se encuentra dentro de la autoridad de la Junta. </w:t>
      </w:r>
    </w:p>
    <w:p w14:paraId="035143E8" w14:textId="29B7ED6C" w:rsidR="00171F70" w:rsidRDefault="002604CF" w:rsidP="00465BBD">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101C2094" w14:textId="77777777" w:rsidR="002A42AF" w:rsidRPr="00B357C2" w:rsidRDefault="002A42AF" w:rsidP="00465BBD">
      <w:pPr>
        <w:spacing w:after="0" w:line="240" w:lineRule="auto"/>
        <w:rPr>
          <w:rFonts w:ascii="Times New Roman" w:eastAsia="Times New Roman" w:hAnsi="Times New Roman" w:cs="Times New Roman"/>
          <w:sz w:val="24"/>
          <w:szCs w:val="24"/>
        </w:rPr>
      </w:pPr>
    </w:p>
    <w:p w14:paraId="62D6448B" w14:textId="37916231" w:rsidR="00C96851"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§104.1. Requisitos de educación continua.</w:t>
      </w:r>
    </w:p>
    <w:p w14:paraId="662B6A95" w14:textId="2AA4B49D" w:rsidR="00F57022" w:rsidRDefault="00F57022" w:rsidP="00465BBD">
      <w:pPr>
        <w:spacing w:after="0" w:line="240" w:lineRule="auto"/>
        <w:rPr>
          <w:rFonts w:ascii="Times New Roman" w:eastAsia="Times New Roman" w:hAnsi="Times New Roman" w:cs="Times New Roman"/>
          <w:sz w:val="24"/>
          <w:szCs w:val="24"/>
        </w:rPr>
      </w:pPr>
    </w:p>
    <w:p w14:paraId="3C20599F" w14:textId="29DEEE25" w:rsidR="004D41B8" w:rsidRPr="004D41B8" w:rsidRDefault="004D41B8" w:rsidP="004D41B8">
      <w:pPr>
        <w:rPr>
          <w:rFonts w:ascii="Times New Roman" w:hAnsi="Times New Roman" w:cs="Times New Roman"/>
          <w:sz w:val="24"/>
          <w:szCs w:val="24"/>
        </w:rPr>
      </w:pPr>
      <w:r>
        <w:rPr>
          <w:rFonts w:ascii="Times New Roman" w:hAnsi="Times New Roman"/>
          <w:sz w:val="24"/>
        </w:rPr>
        <w:t>Como prerrequisito de la renovación bienal de una licencia odontológica o de higiene dental, se requiere un comprobante de finalización de 24 horas de educación continua aceptable.</w:t>
      </w:r>
    </w:p>
    <w:p w14:paraId="664E2A7A" w14:textId="1470ADAF" w:rsidR="004D41B8" w:rsidRPr="004D41B8" w:rsidRDefault="004D41B8" w:rsidP="004D41B8">
      <w:pPr>
        <w:rPr>
          <w:rFonts w:ascii="Times New Roman" w:hAnsi="Times New Roman" w:cs="Times New Roman"/>
          <w:sz w:val="24"/>
          <w:szCs w:val="24"/>
        </w:rPr>
      </w:pPr>
      <w:r>
        <w:rPr>
          <w:rFonts w:ascii="Times New Roman" w:hAnsi="Times New Roman"/>
          <w:sz w:val="24"/>
        </w:rPr>
        <w:t>(1) Cada licenciatario deberá elegir y participar en los cursos de educación continua respaldados por los proveedores identificados en el Artículo 104.2 de este título (relativo a Proveedores). Un licenciatario, que no sea un licenciatario que vive fuera de los Estados Unidos, que no pueda cumplir con los requisitos del curso de educación</w:t>
      </w:r>
      <w:r w:rsidR="00E36006">
        <w:rPr>
          <w:rFonts w:ascii="Times New Roman" w:hAnsi="Times New Roman"/>
          <w:sz w:val="24"/>
        </w:rPr>
        <w:t>,</w:t>
      </w:r>
      <w:r>
        <w:rPr>
          <w:rFonts w:ascii="Times New Roman" w:hAnsi="Times New Roman"/>
          <w:sz w:val="24"/>
        </w:rPr>
        <w:t xml:space="preserve"> podrá solicitar que el Comité de Licencias apruebe cursos o procedimientos alternativos.</w:t>
      </w:r>
    </w:p>
    <w:p w14:paraId="78A04793" w14:textId="32DC7255" w:rsidR="004D41B8" w:rsidRPr="004D41B8" w:rsidRDefault="004D41B8" w:rsidP="004D41B8">
      <w:pPr>
        <w:rPr>
          <w:rFonts w:ascii="Times New Roman" w:hAnsi="Times New Roman" w:cs="Times New Roman"/>
          <w:sz w:val="24"/>
          <w:szCs w:val="24"/>
        </w:rPr>
      </w:pPr>
      <w:r>
        <w:rPr>
          <w:rFonts w:ascii="Times New Roman" w:hAnsi="Times New Roman"/>
          <w:sz w:val="24"/>
        </w:rPr>
        <w:t>(A) Estas solicitudes deben realizarse por escrito y presentarse y ser aprobadas por el Comité de Licencias antes del vencimiento del plazo bienal para el cual se solicita la alternativa.</w:t>
      </w:r>
    </w:p>
    <w:p w14:paraId="29648183" w14:textId="4E1AE2BF" w:rsidR="004D41B8" w:rsidRPr="004D41B8" w:rsidRDefault="004D41B8" w:rsidP="004D41B8">
      <w:pPr>
        <w:rPr>
          <w:rFonts w:ascii="Times New Roman" w:hAnsi="Times New Roman" w:cs="Times New Roman"/>
          <w:sz w:val="24"/>
          <w:szCs w:val="24"/>
        </w:rPr>
      </w:pPr>
      <w:r>
        <w:rPr>
          <w:rFonts w:ascii="Times New Roman" w:hAnsi="Times New Roman"/>
          <w:sz w:val="24"/>
        </w:rPr>
        <w:t>(B) Un licenciatario debe proporcionar documentación de respaldo que detalle el motivo por el cual no se puede cumplir con los requisitos de educación continua estipulados en este artículo, y debe presentar una propuesta de procedimientos de educación continua.</w:t>
      </w:r>
    </w:p>
    <w:p w14:paraId="36169664" w14:textId="7879983E" w:rsidR="004D41B8" w:rsidRPr="004D41B8" w:rsidRDefault="004D41B8" w:rsidP="004D41B8">
      <w:pPr>
        <w:rPr>
          <w:rFonts w:ascii="Times New Roman" w:hAnsi="Times New Roman" w:cs="Times New Roman"/>
          <w:sz w:val="24"/>
          <w:szCs w:val="24"/>
        </w:rPr>
      </w:pPr>
      <w:r>
        <w:rPr>
          <w:rFonts w:ascii="Times New Roman" w:hAnsi="Times New Roman"/>
          <w:sz w:val="24"/>
        </w:rPr>
        <w:t>(C) Las causas aceptables pueden incluir adversidades financieras o médicas inesperadas u otras circunstancias extraordinarias que estén documentadas.</w:t>
      </w:r>
    </w:p>
    <w:p w14:paraId="2179C94F" w14:textId="6BD28113" w:rsidR="004D41B8" w:rsidRPr="004D41B8" w:rsidRDefault="004D41B8" w:rsidP="004D41B8">
      <w:pPr>
        <w:rPr>
          <w:rFonts w:ascii="Times New Roman" w:hAnsi="Times New Roman" w:cs="Times New Roman"/>
          <w:sz w:val="24"/>
          <w:szCs w:val="24"/>
        </w:rPr>
      </w:pPr>
      <w:r>
        <w:rPr>
          <w:rFonts w:ascii="Times New Roman" w:hAnsi="Times New Roman"/>
          <w:sz w:val="24"/>
        </w:rPr>
        <w:t>(D) Un licenciatario que viva fuera de los Estados Unidos podrá, sin previa aprobación del Comité de Licencias, completar todas las horas requeridas de estudios estudiando por su cuenta.</w:t>
      </w:r>
    </w:p>
    <w:p w14:paraId="41DF131D" w14:textId="05AEAE2B" w:rsidR="004D41B8" w:rsidRPr="004D41B8" w:rsidRDefault="004D41B8" w:rsidP="004D41B8">
      <w:pPr>
        <w:rPr>
          <w:rFonts w:ascii="Times New Roman" w:hAnsi="Times New Roman" w:cs="Times New Roman"/>
          <w:sz w:val="24"/>
          <w:szCs w:val="24"/>
        </w:rPr>
      </w:pPr>
      <w:r>
        <w:rPr>
          <w:rFonts w:ascii="Times New Roman" w:hAnsi="Times New Roman"/>
          <w:sz w:val="24"/>
        </w:rPr>
        <w:t>(i) Estas horas de estudio por cuenta propia deben ser proporcionadas por las entidades nombradas en el Artículo 104.2 de este título. Algunos ejemplos de cursos de estudio por cuenta propia incluyen cursos por correspondencia, cursos por video, cursos de audio y cursos de lectura.</w:t>
      </w:r>
    </w:p>
    <w:p w14:paraId="12A8B86C" w14:textId="195C4944" w:rsidR="004D41B8" w:rsidRPr="004D41B8" w:rsidRDefault="004D41B8" w:rsidP="004D41B8">
      <w:pPr>
        <w:rPr>
          <w:rFonts w:ascii="Times New Roman" w:hAnsi="Times New Roman" w:cs="Times New Roman"/>
          <w:sz w:val="24"/>
          <w:szCs w:val="24"/>
        </w:rPr>
      </w:pPr>
      <w:r>
        <w:rPr>
          <w:rFonts w:ascii="Times New Roman" w:hAnsi="Times New Roman"/>
          <w:sz w:val="24"/>
        </w:rPr>
        <w:t>(ii) Al ser auditado para determinar el cumplimiento del requisito de educación continua, un licenciatario que presente horas de estudio por cuenta propia conforme a este apartado debe poder demostrar su residencia fuera de los Estados Unidos durante todos los períodos de tiempo para los cuales presentó sus horas de estudio por cuenta propia.</w:t>
      </w:r>
    </w:p>
    <w:p w14:paraId="3E79B328" w14:textId="04737E8A" w:rsidR="004D41B8" w:rsidRPr="004D41B8" w:rsidRDefault="004D41B8" w:rsidP="004D41B8">
      <w:pPr>
        <w:rPr>
          <w:rFonts w:ascii="Times New Roman" w:hAnsi="Times New Roman" w:cs="Times New Roman"/>
          <w:sz w:val="24"/>
          <w:szCs w:val="24"/>
        </w:rPr>
      </w:pPr>
      <w:r>
        <w:rPr>
          <w:rFonts w:ascii="Times New Roman" w:hAnsi="Times New Roman"/>
          <w:sz w:val="24"/>
        </w:rPr>
        <w:t>(E) En caso de que se rechace una solicitud realizada al Comité de Licencias, el licenciatario debe completar los requisitos de este artículo.</w:t>
      </w:r>
    </w:p>
    <w:p w14:paraId="31D1C483" w14:textId="5DCA1686" w:rsidR="004D41B8" w:rsidRPr="004D41B8" w:rsidRDefault="004D41B8" w:rsidP="004D41B8">
      <w:pPr>
        <w:rPr>
          <w:rFonts w:ascii="Times New Roman" w:hAnsi="Times New Roman" w:cs="Times New Roman"/>
          <w:sz w:val="24"/>
          <w:szCs w:val="24"/>
        </w:rPr>
      </w:pPr>
      <w:r>
        <w:rPr>
          <w:rFonts w:ascii="Times New Roman" w:hAnsi="Times New Roman"/>
          <w:sz w:val="24"/>
        </w:rPr>
        <w:t>(2) Con vigencia a partir del 1 de septiembre de 2018, se aplicarán las siguientes condiciones y restricciones a los trabajos de curso presentados a fines de renovación:</w:t>
      </w:r>
    </w:p>
    <w:p w14:paraId="7C798453" w14:textId="2CCEFAD5" w:rsidR="004D41B8" w:rsidRPr="004D41B8" w:rsidRDefault="004D41B8" w:rsidP="004D41B8">
      <w:pPr>
        <w:rPr>
          <w:rFonts w:ascii="Times New Roman" w:hAnsi="Times New Roman" w:cs="Times New Roman"/>
          <w:sz w:val="24"/>
          <w:szCs w:val="24"/>
        </w:rPr>
      </w:pPr>
      <w:r>
        <w:rPr>
          <w:rFonts w:ascii="Times New Roman" w:hAnsi="Times New Roman"/>
          <w:sz w:val="24"/>
        </w:rPr>
        <w:t xml:space="preserve">(A) Al menos 16 horas del trabajo de curso deben ser técnicas o científicas relacionadas con la atención clínica. Los términos “técnico” y “científico” como se aplican a la educación continua significarán que los cursos tienen contenido intelectual o práctico considerable y están diseñados </w:t>
      </w:r>
      <w:r>
        <w:rPr>
          <w:rFonts w:ascii="Times New Roman" w:hAnsi="Times New Roman"/>
          <w:sz w:val="24"/>
        </w:rPr>
        <w:lastRenderedPageBreak/>
        <w:t>para mejorar directamente los conocimientos y las habilidades del profesional en la prestación de atención clínica a pacientes individuales.</w:t>
      </w:r>
    </w:p>
    <w:p w14:paraId="25BE20DD" w14:textId="1B79834A" w:rsidR="004D41B8" w:rsidRPr="004D41B8" w:rsidRDefault="004D41B8" w:rsidP="004D41B8">
      <w:pPr>
        <w:rPr>
          <w:rFonts w:ascii="Times New Roman" w:hAnsi="Times New Roman" w:cs="Times New Roman"/>
          <w:sz w:val="24"/>
          <w:szCs w:val="24"/>
        </w:rPr>
      </w:pPr>
      <w:r>
        <w:rPr>
          <w:rFonts w:ascii="Times New Roman" w:hAnsi="Times New Roman"/>
          <w:sz w:val="24"/>
        </w:rPr>
        <w:t>(B) Con vigencia a partir del 1 de enero de 2021, un dentista licenciado cuyo consultorio incluya la atención directa de pacientes debe completar no menos de 2 horas de educación continua de manera anual, y no menos de 4 horas por cada renovación bienal, respecto del manejo del dolor seguro y eficaz relativo a la receta de opioides y otras sustancias controladas. Estas 4 horas se pueden usar para cumplir con el requisito técnico y científico de 16 horas. Los cursos completados para satisfacer el requisito de manejo eficaz del dolor deben incluir educación sobre:</w:t>
      </w:r>
    </w:p>
    <w:p w14:paraId="28996D8E" w14:textId="1FAE736B" w:rsidR="004D41B8" w:rsidRPr="004D41B8" w:rsidRDefault="004D41B8" w:rsidP="004D41B8">
      <w:pPr>
        <w:rPr>
          <w:rFonts w:ascii="Times New Roman" w:hAnsi="Times New Roman" w:cs="Times New Roman"/>
          <w:sz w:val="24"/>
          <w:szCs w:val="24"/>
        </w:rPr>
      </w:pPr>
      <w:r>
        <w:rPr>
          <w:rFonts w:ascii="Times New Roman" w:hAnsi="Times New Roman"/>
          <w:sz w:val="24"/>
        </w:rPr>
        <w:t>(i) estándares de atención razonables;</w:t>
      </w:r>
    </w:p>
    <w:p w14:paraId="7EB7EC05" w14:textId="028E98EE" w:rsidR="004D41B8" w:rsidRPr="004D41B8" w:rsidRDefault="004D41B8" w:rsidP="004D41B8">
      <w:pPr>
        <w:rPr>
          <w:rFonts w:ascii="Times New Roman" w:hAnsi="Times New Roman" w:cs="Times New Roman"/>
          <w:sz w:val="24"/>
          <w:szCs w:val="24"/>
        </w:rPr>
      </w:pPr>
      <w:r>
        <w:rPr>
          <w:rFonts w:ascii="Times New Roman" w:hAnsi="Times New Roman"/>
          <w:sz w:val="24"/>
        </w:rPr>
        <w:t>(ii) la identificación de conductas de búsqueda de fármacos en pacientes; y</w:t>
      </w:r>
    </w:p>
    <w:p w14:paraId="52AF9A54" w14:textId="338D99C2" w:rsidR="004D41B8" w:rsidRPr="004D41B8" w:rsidRDefault="004D41B8" w:rsidP="004D41B8">
      <w:pPr>
        <w:rPr>
          <w:rFonts w:ascii="Times New Roman" w:hAnsi="Times New Roman" w:cs="Times New Roman"/>
          <w:sz w:val="24"/>
          <w:szCs w:val="24"/>
        </w:rPr>
      </w:pPr>
      <w:r>
        <w:rPr>
          <w:rFonts w:ascii="Times New Roman" w:hAnsi="Times New Roman"/>
          <w:sz w:val="24"/>
        </w:rPr>
        <w:t>(iii) la comunicación eficaz con los pacientes al recetar un opioide u otra sustancia controlada.</w:t>
      </w:r>
    </w:p>
    <w:p w14:paraId="3039925A" w14:textId="5A508344" w:rsidR="004D41B8" w:rsidRPr="004D41B8" w:rsidRDefault="004D41B8" w:rsidP="004D41B8">
      <w:pPr>
        <w:rPr>
          <w:rFonts w:ascii="Times New Roman" w:hAnsi="Times New Roman" w:cs="Times New Roman"/>
          <w:sz w:val="24"/>
          <w:szCs w:val="24"/>
        </w:rPr>
      </w:pPr>
      <w:r>
        <w:rPr>
          <w:rFonts w:ascii="Times New Roman" w:hAnsi="Times New Roman"/>
          <w:sz w:val="24"/>
        </w:rPr>
        <w:t>(C) Hasta 8 horas del trabajo de curso pueden estar dedicadas a cursos de manejo de riesgos. Los cursos de “manejo de riesgos” aceptables incluyen cursos en manejo de riesgos, mantenimiento de registros, y ética. Los dentistas pueden completar los cursos de educación continua descritos por el Artículo 111.1 de este título (relativo a la Educación Continua Adicional Requerida) para cumplir con una parte del requisito de manejo de riesgos.</w:t>
      </w:r>
    </w:p>
    <w:p w14:paraId="286E79B4" w14:textId="5DC8A5BD" w:rsidR="004D41B8" w:rsidRPr="004D41B8" w:rsidRDefault="004D41B8" w:rsidP="004D41B8">
      <w:pPr>
        <w:rPr>
          <w:rFonts w:ascii="Times New Roman" w:hAnsi="Times New Roman" w:cs="Times New Roman"/>
          <w:sz w:val="24"/>
          <w:szCs w:val="24"/>
        </w:rPr>
      </w:pPr>
      <w:r>
        <w:rPr>
          <w:rFonts w:ascii="Times New Roman" w:hAnsi="Times New Roman"/>
          <w:sz w:val="24"/>
        </w:rPr>
        <w:t>(D) Hasta 8 horas del trabajo de curso pueden estar dedicadas a estudios por cuenta propia. Estas horas de estudio por cuenta propia deben ser proporcionadas por las entidades nombradas en el Artículo 104.2 de este título. Algunos ejemplos de cursos de estudio por cuenta propia incluyen cursos por correspondencia, cursos por video, cursos de audio y cursos de lectura.</w:t>
      </w:r>
    </w:p>
    <w:p w14:paraId="725C85DE" w14:textId="758B1BEC" w:rsidR="004D41B8" w:rsidRPr="004D41B8" w:rsidRDefault="004D41B8" w:rsidP="004D41B8">
      <w:pPr>
        <w:rPr>
          <w:rFonts w:ascii="Times New Roman" w:hAnsi="Times New Roman" w:cs="Times New Roman"/>
          <w:sz w:val="24"/>
          <w:szCs w:val="24"/>
        </w:rPr>
      </w:pPr>
      <w:r>
        <w:rPr>
          <w:rFonts w:ascii="Times New Roman" w:hAnsi="Times New Roman"/>
          <w:sz w:val="24"/>
        </w:rPr>
        <w:t>(E) Las horas de trabajo de curso en los estándares del curso de actualización anual de la Administración de Salud y Seguridad Ocupacional (OSHA, por sus siglas en inglés) o en capacitación en soporte de vida básico para resucitación cardiopulmonar (RCP) no se tendrán en cuenta para el requisito de 24 horas.</w:t>
      </w:r>
    </w:p>
    <w:p w14:paraId="2BDB6A1A" w14:textId="74BB2BE3" w:rsidR="004D41B8" w:rsidRPr="004D41B8" w:rsidRDefault="004D41B8" w:rsidP="004D41B8">
      <w:pPr>
        <w:rPr>
          <w:rFonts w:ascii="Times New Roman" w:hAnsi="Times New Roman" w:cs="Times New Roman"/>
          <w:sz w:val="24"/>
          <w:szCs w:val="24"/>
        </w:rPr>
      </w:pPr>
      <w:r>
        <w:rPr>
          <w:rFonts w:ascii="Times New Roman" w:hAnsi="Times New Roman"/>
          <w:sz w:val="24"/>
        </w:rPr>
        <w:t>(F) Las horas de trabajo de curso en finanzas del consultorio no se tendrán en cuenta para el requisito de 24 horas.</w:t>
      </w:r>
    </w:p>
    <w:p w14:paraId="6AD96FB0" w14:textId="4B8F86BF" w:rsidR="004D41B8" w:rsidRPr="004D41B8" w:rsidRDefault="004D41B8" w:rsidP="004D41B8">
      <w:pPr>
        <w:rPr>
          <w:rFonts w:ascii="Times New Roman" w:hAnsi="Times New Roman" w:cs="Times New Roman"/>
          <w:sz w:val="24"/>
          <w:szCs w:val="24"/>
        </w:rPr>
      </w:pPr>
      <w:r>
        <w:rPr>
          <w:rFonts w:ascii="Times New Roman" w:hAnsi="Times New Roman"/>
          <w:sz w:val="24"/>
        </w:rPr>
        <w:t>(3) Como parte del requisito de 24 horas, se debe completar un curso en prevención de trata de blancas aprobado por el comisionado ejecutivo de la Comisión de Salud y Servicios Humanos de Texas.</w:t>
      </w:r>
    </w:p>
    <w:p w14:paraId="091B0E24" w14:textId="5C311AC9" w:rsidR="004D41B8" w:rsidRPr="004D41B8" w:rsidRDefault="004D41B8" w:rsidP="004D41B8">
      <w:pPr>
        <w:rPr>
          <w:rFonts w:ascii="Times New Roman" w:hAnsi="Times New Roman" w:cs="Times New Roman"/>
          <w:sz w:val="24"/>
          <w:szCs w:val="24"/>
        </w:rPr>
      </w:pPr>
      <w:r>
        <w:rPr>
          <w:rFonts w:ascii="Times New Roman" w:hAnsi="Times New Roman"/>
          <w:sz w:val="24"/>
        </w:rPr>
        <w:t>(4) Cada licenciatario deberá completar la evaluación de jurisprudencia cada cuatro (4) años. Este requisito es adicional a las veinticuatro (24) horas de educación continua que se requieren de manera bienal para la renovación de una licencia.</w:t>
      </w:r>
    </w:p>
    <w:p w14:paraId="3442D374" w14:textId="62DD8335" w:rsidR="004D41B8" w:rsidRPr="004D41B8" w:rsidRDefault="004D41B8" w:rsidP="004D41B8">
      <w:pPr>
        <w:rPr>
          <w:rFonts w:ascii="Times New Roman" w:hAnsi="Times New Roman" w:cs="Times New Roman"/>
          <w:sz w:val="24"/>
          <w:szCs w:val="24"/>
        </w:rPr>
      </w:pPr>
      <w:r>
        <w:rPr>
          <w:rFonts w:ascii="Times New Roman" w:hAnsi="Times New Roman"/>
          <w:sz w:val="24"/>
        </w:rPr>
        <w:t xml:space="preserve">(5) Un licenciatario podrá trasladar horas de educación continua obtenidas antes de un período de renovación que superen el requisito de 24 horas, y dichas horas en exceso se podrán aplicar a los requisitos del año siguiente. Las horas en exceso que se pretende trasladar deben haberse </w:t>
      </w:r>
      <w:r>
        <w:rPr>
          <w:rFonts w:ascii="Times New Roman" w:hAnsi="Times New Roman"/>
          <w:sz w:val="24"/>
        </w:rPr>
        <w:lastRenderedPageBreak/>
        <w:t>obtenido en un entorno de aula y dentro de un año inmediatamente antes del período de renovación. Se pueden trasladar, como máximo, 24 horas de crédito en exceso en total.</w:t>
      </w:r>
    </w:p>
    <w:p w14:paraId="3C934FD7" w14:textId="014EB284" w:rsidR="004D41B8" w:rsidRPr="004D41B8" w:rsidRDefault="004D41B8" w:rsidP="004D41B8">
      <w:pPr>
        <w:rPr>
          <w:rFonts w:ascii="Times New Roman" w:hAnsi="Times New Roman" w:cs="Times New Roman"/>
          <w:sz w:val="24"/>
          <w:szCs w:val="24"/>
        </w:rPr>
      </w:pPr>
      <w:r>
        <w:rPr>
          <w:rFonts w:ascii="Times New Roman" w:hAnsi="Times New Roman"/>
          <w:sz w:val="24"/>
        </w:rPr>
        <w:t xml:space="preserve">(6) Los Evaluadores de </w:t>
      </w:r>
      <w:r>
        <w:rPr>
          <w:rFonts w:ascii="Times New Roman" w:hAnsi="Times New Roman"/>
          <w:sz w:val="24"/>
          <w:u w:val="single"/>
        </w:rPr>
        <w:t>la American Board of Dental Examiners</w:t>
      </w:r>
      <w:r>
        <w:rPr>
          <w:rFonts w:ascii="Times New Roman" w:hAnsi="Times New Roman"/>
          <w:sz w:val="24"/>
        </w:rPr>
        <w:t xml:space="preserve">  (ADEX) [</w:t>
      </w:r>
      <w:r>
        <w:rPr>
          <w:rFonts w:ascii="Times New Roman" w:hAnsi="Times New Roman"/>
          <w:strike/>
          <w:sz w:val="24"/>
        </w:rPr>
        <w:t xml:space="preserve">Comisión de Evaluaciones de Competencia Odontológica-La Junta de Evaluación Regional del Oeste-El Consejo de Agencias de Evaluación Interestatales (CDCA-WREB-CITA, por sus siglas en inglés) </w:t>
      </w:r>
      <w:r>
        <w:rPr>
          <w:rFonts w:ascii="Times New Roman" w:hAnsi="Times New Roman"/>
          <w:sz w:val="24"/>
        </w:rPr>
        <w:t>], y Central Regional Dental Testing Services-States Resources for Testing and Assessments (CRDTS-SRTA) tendrán permitido un crédito de no más de 12 horas bienales, obtenidos de los ejercicios de calibración y estandarización asociados con las evaluaciones.</w:t>
      </w:r>
    </w:p>
    <w:p w14:paraId="6BDBEE8E" w14:textId="731A4E12" w:rsidR="004D41B8" w:rsidRPr="004D41B8" w:rsidRDefault="004D41B8" w:rsidP="004D41B8">
      <w:pPr>
        <w:rPr>
          <w:rFonts w:ascii="Times New Roman" w:hAnsi="Times New Roman" w:cs="Times New Roman"/>
          <w:sz w:val="24"/>
          <w:szCs w:val="24"/>
        </w:rPr>
      </w:pPr>
      <w:r>
        <w:rPr>
          <w:rFonts w:ascii="Times New Roman" w:hAnsi="Times New Roman"/>
          <w:sz w:val="24"/>
        </w:rPr>
        <w:t>(7) Cualquier persona o entidad puede peticionar a uno de los prestadores indicados en el Artículo 104.2 de este título para la oferta de educación continua.</w:t>
      </w:r>
    </w:p>
    <w:p w14:paraId="29D82ACF" w14:textId="533203CC" w:rsidR="004D41B8" w:rsidRPr="004D41B8" w:rsidRDefault="004D41B8" w:rsidP="004D41B8">
      <w:pPr>
        <w:rPr>
          <w:rFonts w:ascii="Times New Roman" w:hAnsi="Times New Roman" w:cs="Times New Roman"/>
          <w:sz w:val="24"/>
          <w:szCs w:val="24"/>
        </w:rPr>
      </w:pPr>
      <w:r>
        <w:rPr>
          <w:rFonts w:ascii="Times New Roman" w:hAnsi="Times New Roman"/>
          <w:sz w:val="24"/>
        </w:rPr>
        <w:t>(8) Los prestadores indicados en el Artículo 104.2 de este título aprobarán cursos y/o instructores individuales.</w:t>
      </w:r>
    </w:p>
    <w:p w14:paraId="42A5A765" w14:textId="40C87B4E" w:rsidR="004D41B8" w:rsidRPr="004D41B8" w:rsidRDefault="004D41B8" w:rsidP="004D41B8">
      <w:pPr>
        <w:rPr>
          <w:rFonts w:ascii="Times New Roman" w:hAnsi="Times New Roman" w:cs="Times New Roman"/>
          <w:sz w:val="24"/>
          <w:szCs w:val="24"/>
        </w:rPr>
      </w:pPr>
      <w:r>
        <w:rPr>
          <w:rFonts w:ascii="Times New Roman" w:hAnsi="Times New Roman"/>
          <w:sz w:val="24"/>
        </w:rPr>
        <w:t>(9) Un consultor de la SBDE que también es un licenciatario de la SBDE es elegible para recibir hasta 12 horas de crédito de educación continua bienal que puede aplicar al requisito de educación continua de renovación bienal conforme a este artículo.</w:t>
      </w:r>
    </w:p>
    <w:p w14:paraId="5411E975" w14:textId="662F4323" w:rsidR="004D41B8" w:rsidRPr="004D41B8" w:rsidRDefault="004D41B8" w:rsidP="004D41B8">
      <w:pPr>
        <w:rPr>
          <w:rFonts w:ascii="Times New Roman" w:hAnsi="Times New Roman" w:cs="Times New Roman"/>
          <w:sz w:val="24"/>
          <w:szCs w:val="24"/>
        </w:rPr>
      </w:pPr>
      <w:r>
        <w:rPr>
          <w:rFonts w:ascii="Times New Roman" w:hAnsi="Times New Roman"/>
          <w:sz w:val="24"/>
        </w:rPr>
        <w:t>(A) Se otorgarán horas de crédito de educación continua por la emisión de una opinión experta con base en la revisión de casos de la SBDE y por brindar asistencia a la SBDE en la investigación y el procesamiento de casos que involucran violaciones de la Ley de Práctica Odontológica y/o las Reglas de la SBDE.</w:t>
      </w:r>
    </w:p>
    <w:p w14:paraId="0C4E2F6B" w14:textId="3E2F93D2" w:rsidR="004D41B8" w:rsidRPr="004D41B8" w:rsidRDefault="004D41B8" w:rsidP="004D41B8">
      <w:pPr>
        <w:rPr>
          <w:rFonts w:ascii="Times New Roman" w:hAnsi="Times New Roman" w:cs="Times New Roman"/>
          <w:sz w:val="24"/>
          <w:szCs w:val="24"/>
        </w:rPr>
      </w:pPr>
      <w:r>
        <w:rPr>
          <w:rFonts w:ascii="Times New Roman" w:hAnsi="Times New Roman"/>
          <w:sz w:val="24"/>
        </w:rPr>
        <w:t>(B) La cantidad de horas de crédito de educación continua que se otorgará para cada tarea realizada como consultor será determinada por el Director Ejecutivo, Director de División o gerente que autorice la tarea de consulta que se debe realizar. El otorgamiento de crédito de educación continua se confirmará por escrito y con base en una evaluación razonable del tiempo necesario para completar la tarea.</w:t>
      </w:r>
    </w:p>
    <w:p w14:paraId="54FFCE6B" w14:textId="2E7DC442" w:rsidR="00AC4132" w:rsidRPr="00B357C2" w:rsidRDefault="004D41B8" w:rsidP="004D41B8">
      <w:pPr>
        <w:rPr>
          <w:rFonts w:ascii="Times New Roman" w:hAnsi="Times New Roman" w:cs="Times New Roman"/>
          <w:sz w:val="24"/>
          <w:szCs w:val="24"/>
        </w:rPr>
      </w:pPr>
      <w:r>
        <w:rPr>
          <w:rFonts w:ascii="Times New Roman" w:hAnsi="Times New Roman"/>
          <w:sz w:val="24"/>
        </w:rPr>
        <w:t>(10) Un instructor de cursos que ofrezca educación continua a través de un prestador indicado en el Artículo 104.2 de este título es elegible para recibir 2 horas de crédito de educación continua por cada 1 hora de instrucción proporcionada. Este crédito se aplica por curso, por período de renovación.</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45796241">
    <w:abstractNumId w:val="2"/>
  </w:num>
  <w:num w:numId="2" w16cid:durableId="482283471">
    <w:abstractNumId w:val="5"/>
  </w:num>
  <w:num w:numId="3" w16cid:durableId="2107536891">
    <w:abstractNumId w:val="1"/>
  </w:num>
  <w:num w:numId="4" w16cid:durableId="621231961">
    <w:abstractNumId w:val="3"/>
  </w:num>
  <w:num w:numId="5" w16cid:durableId="1692801481">
    <w:abstractNumId w:val="4"/>
  </w:num>
  <w:num w:numId="6" w16cid:durableId="1462964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3007"/>
    <w:rsid w:val="00104706"/>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02077"/>
    <w:rsid w:val="00216CA1"/>
    <w:rsid w:val="002252B0"/>
    <w:rsid w:val="00230669"/>
    <w:rsid w:val="002553FF"/>
    <w:rsid w:val="002604CF"/>
    <w:rsid w:val="002641FC"/>
    <w:rsid w:val="002648F2"/>
    <w:rsid w:val="00274417"/>
    <w:rsid w:val="0028586D"/>
    <w:rsid w:val="00291A81"/>
    <w:rsid w:val="00292D96"/>
    <w:rsid w:val="002A42AF"/>
    <w:rsid w:val="002A5516"/>
    <w:rsid w:val="002A7368"/>
    <w:rsid w:val="002B2D03"/>
    <w:rsid w:val="002B56EF"/>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655DE"/>
    <w:rsid w:val="00465BBD"/>
    <w:rsid w:val="0047583E"/>
    <w:rsid w:val="00476A97"/>
    <w:rsid w:val="00490983"/>
    <w:rsid w:val="004A0142"/>
    <w:rsid w:val="004C180D"/>
    <w:rsid w:val="004D41B8"/>
    <w:rsid w:val="004E35FE"/>
    <w:rsid w:val="004E5C87"/>
    <w:rsid w:val="005223AC"/>
    <w:rsid w:val="0052741D"/>
    <w:rsid w:val="005278E7"/>
    <w:rsid w:val="00527CEE"/>
    <w:rsid w:val="00531962"/>
    <w:rsid w:val="00531DD4"/>
    <w:rsid w:val="00536B7E"/>
    <w:rsid w:val="005576F5"/>
    <w:rsid w:val="00561AD2"/>
    <w:rsid w:val="00567836"/>
    <w:rsid w:val="00571C31"/>
    <w:rsid w:val="00575A8A"/>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66027"/>
    <w:rsid w:val="006700BE"/>
    <w:rsid w:val="00675328"/>
    <w:rsid w:val="00687ADA"/>
    <w:rsid w:val="00697BE7"/>
    <w:rsid w:val="006B273B"/>
    <w:rsid w:val="006B5603"/>
    <w:rsid w:val="006C76DD"/>
    <w:rsid w:val="006D0841"/>
    <w:rsid w:val="006D2F1E"/>
    <w:rsid w:val="006D45C6"/>
    <w:rsid w:val="006E21E7"/>
    <w:rsid w:val="006E332A"/>
    <w:rsid w:val="006E54AD"/>
    <w:rsid w:val="006F2A4C"/>
    <w:rsid w:val="00704AA5"/>
    <w:rsid w:val="00715C72"/>
    <w:rsid w:val="00725748"/>
    <w:rsid w:val="00725C59"/>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31E35"/>
    <w:rsid w:val="00833BB0"/>
    <w:rsid w:val="00836A52"/>
    <w:rsid w:val="00837590"/>
    <w:rsid w:val="00840F41"/>
    <w:rsid w:val="00852781"/>
    <w:rsid w:val="0086138E"/>
    <w:rsid w:val="00881B30"/>
    <w:rsid w:val="00883AE3"/>
    <w:rsid w:val="00893647"/>
    <w:rsid w:val="008A5A5E"/>
    <w:rsid w:val="008A743C"/>
    <w:rsid w:val="008B33C9"/>
    <w:rsid w:val="008B6299"/>
    <w:rsid w:val="008D01E7"/>
    <w:rsid w:val="008D6B97"/>
    <w:rsid w:val="008F1CCC"/>
    <w:rsid w:val="008F282B"/>
    <w:rsid w:val="00912B71"/>
    <w:rsid w:val="0091317E"/>
    <w:rsid w:val="00914B68"/>
    <w:rsid w:val="009247D3"/>
    <w:rsid w:val="00944909"/>
    <w:rsid w:val="00945870"/>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338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9062B"/>
    <w:rsid w:val="00DA1A86"/>
    <w:rsid w:val="00DA633D"/>
    <w:rsid w:val="00DA7638"/>
    <w:rsid w:val="00DC54CE"/>
    <w:rsid w:val="00DD0FCE"/>
    <w:rsid w:val="00DD561E"/>
    <w:rsid w:val="00DD669C"/>
    <w:rsid w:val="00DF3841"/>
    <w:rsid w:val="00E03276"/>
    <w:rsid w:val="00E03A36"/>
    <w:rsid w:val="00E15F4D"/>
    <w:rsid w:val="00E23BB6"/>
    <w:rsid w:val="00E36006"/>
    <w:rsid w:val="00E4345C"/>
    <w:rsid w:val="00E53413"/>
    <w:rsid w:val="00E62014"/>
    <w:rsid w:val="00E6334C"/>
    <w:rsid w:val="00E70743"/>
    <w:rsid w:val="00E77830"/>
    <w:rsid w:val="00E87E96"/>
    <w:rsid w:val="00E969E8"/>
    <w:rsid w:val="00EA263F"/>
    <w:rsid w:val="00EA35BF"/>
    <w:rsid w:val="00EC244C"/>
    <w:rsid w:val="00ED052D"/>
    <w:rsid w:val="00EE67AD"/>
    <w:rsid w:val="00EE70A1"/>
    <w:rsid w:val="00EF0CE3"/>
    <w:rsid w:val="00EF6B9F"/>
    <w:rsid w:val="00F06585"/>
    <w:rsid w:val="00F15433"/>
    <w:rsid w:val="00F218EB"/>
    <w:rsid w:val="00F25CAB"/>
    <w:rsid w:val="00F334D9"/>
    <w:rsid w:val="00F4162B"/>
    <w:rsid w:val="00F57022"/>
    <w:rsid w:val="00F62E83"/>
    <w:rsid w:val="00F9767F"/>
    <w:rsid w:val="00FA0037"/>
    <w:rsid w:val="00FB1345"/>
    <w:rsid w:val="00FB6673"/>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65BBD"/>
    <w:pPr>
      <w:ind w:left="720"/>
      <w:contextualSpacing/>
    </w:pPr>
  </w:style>
  <w:style w:type="paragraph" w:styleId="Textoindependiente">
    <w:name w:val="Body Text"/>
    <w:basedOn w:val="Normal"/>
    <w:link w:val="TextoindependienteCar"/>
    <w:uiPriority w:val="99"/>
    <w:unhideWhenUsed/>
    <w:rsid w:val="00336E81"/>
    <w:pPr>
      <w:spacing w:after="120"/>
    </w:pPr>
  </w:style>
  <w:style w:type="character" w:customStyle="1" w:styleId="TextoindependienteCar">
    <w:name w:val="Texto independiente Car"/>
    <w:basedOn w:val="Fuentedeprrafopredeter"/>
    <w:link w:val="Textoindependiente"/>
    <w:uiPriority w:val="99"/>
    <w:rsid w:val="00336E81"/>
  </w:style>
  <w:style w:type="character" w:styleId="Hipervnculo">
    <w:name w:val="Hyperlink"/>
    <w:basedOn w:val="Fuentedeprrafopredeter"/>
    <w:uiPriority w:val="99"/>
    <w:unhideWhenUsed/>
    <w:rsid w:val="00336E81"/>
    <w:rPr>
      <w:color w:val="0563C1" w:themeColor="hyperlink"/>
      <w:u w:val="single"/>
    </w:rPr>
  </w:style>
  <w:style w:type="character" w:styleId="Mencinsinresolver">
    <w:name w:val="Unresolved Mention"/>
    <w:basedOn w:val="Fuentedeprrafopredeter"/>
    <w:uiPriority w:val="99"/>
    <w:semiHidden/>
    <w:unhideWhenUsed/>
    <w:rsid w:val="00336E81"/>
    <w:rPr>
      <w:color w:val="605E5C"/>
      <w:shd w:val="clear" w:color="auto" w:fill="E1DFDD"/>
    </w:rPr>
  </w:style>
  <w:style w:type="paragraph" w:styleId="Textodeglobo">
    <w:name w:val="Balloon Text"/>
    <w:basedOn w:val="Normal"/>
    <w:link w:val="TextodegloboCar"/>
    <w:uiPriority w:val="99"/>
    <w:semiHidden/>
    <w:unhideWhenUsed/>
    <w:rsid w:val="005C5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5920"/>
    <w:rPr>
      <w:rFonts w:ascii="Segoe UI" w:hAnsi="Segoe UI" w:cs="Segoe UI"/>
      <w:sz w:val="18"/>
      <w:szCs w:val="18"/>
    </w:rPr>
  </w:style>
  <w:style w:type="paragraph" w:styleId="Textocomentario">
    <w:name w:val="annotation text"/>
    <w:basedOn w:val="Normal"/>
    <w:link w:val="TextocomentarioCar"/>
    <w:uiPriority w:val="99"/>
    <w:unhideWhenUsed/>
    <w:rsid w:val="00E969E8"/>
    <w:pPr>
      <w:spacing w:line="240" w:lineRule="auto"/>
    </w:pPr>
    <w:rPr>
      <w:sz w:val="20"/>
      <w:szCs w:val="20"/>
    </w:rPr>
  </w:style>
  <w:style w:type="character" w:customStyle="1" w:styleId="TextocomentarioCar">
    <w:name w:val="Texto comentario Car"/>
    <w:basedOn w:val="Fuentedeprrafopredeter"/>
    <w:link w:val="Textocomentario"/>
    <w:uiPriority w:val="99"/>
    <w:rsid w:val="00E969E8"/>
    <w:rPr>
      <w:sz w:val="20"/>
      <w:szCs w:val="20"/>
    </w:rPr>
  </w:style>
  <w:style w:type="character" w:styleId="Refdecomentario">
    <w:name w:val="annotation reference"/>
    <w:basedOn w:val="Fuentedeprrafopredeter"/>
    <w:uiPriority w:val="99"/>
    <w:semiHidden/>
    <w:unhideWhenUsed/>
    <w:rsid w:val="00E969E8"/>
    <w:rPr>
      <w:sz w:val="16"/>
      <w:szCs w:val="16"/>
    </w:rPr>
  </w:style>
  <w:style w:type="paragraph" w:styleId="Asuntodelcomentario">
    <w:name w:val="annotation subject"/>
    <w:basedOn w:val="Textocomentario"/>
    <w:next w:val="Textocomentario"/>
    <w:link w:val="AsuntodelcomentarioCar"/>
    <w:uiPriority w:val="99"/>
    <w:semiHidden/>
    <w:unhideWhenUsed/>
    <w:rsid w:val="00A926E3"/>
    <w:rPr>
      <w:b/>
      <w:bCs/>
    </w:rPr>
  </w:style>
  <w:style w:type="character" w:customStyle="1" w:styleId="AsuntodelcomentarioCar">
    <w:name w:val="Asunto del comentario Car"/>
    <w:basedOn w:val="TextocomentarioCar"/>
    <w:link w:val="Asuntodelcomentario"/>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8765082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877699683">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0400733">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32E7C-371A-4627-AC8F-F5C745D6D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1727</Words>
  <Characters>9499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maria cristina rico</cp:lastModifiedBy>
  <cp:revision>11</cp:revision>
  <dcterms:created xsi:type="dcterms:W3CDTF">2025-07-14T15:24:00Z</dcterms:created>
  <dcterms:modified xsi:type="dcterms:W3CDTF">2025-12-04T17:30:00Z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0afe25df-029a-4d24-a590-81e7c6bbbd68</vt:lpwstr>
  </property>
</Properties>
</file>