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DF9CF2" w14:textId="6D9E6837" w:rsidR="009622E9" w:rsidRDefault="002604CF" w:rsidP="009622E9">
      <w:pPr>
        <w:rPr>
          <w:rFonts w:ascii="Times New Roman" w:hAnsi="Times New Roman" w:cs="Times New Roman"/>
          <w:sz w:val="24"/>
          <w:szCs w:val="24"/>
        </w:rPr>
      </w:pPr>
      <w:r>
        <w:rPr>
          <w:rFonts w:ascii="Times New Roman" w:hAnsi="Times New Roman"/>
          <w:sz w:val="24"/>
        </w:rPr>
        <w:t xml:space="preserve">La Junta Estatal de Odontólogos (Junta) propone esta enmienda a la regla 22 TAC §104.2, acerca de proveedores de educación continua. La regla propuesta refleja que CDCA-WREB-CITA (un administrador de exámenes dentales) y la American Board of Dental Examiners (elaboradora de los exámenes </w:t>
      </w:r>
      <w:r w:rsidR="00612466">
        <w:rPr>
          <w:rFonts w:ascii="Times New Roman" w:hAnsi="Times New Roman"/>
          <w:sz w:val="24"/>
        </w:rPr>
        <w:t>para obtener la licencia de</w:t>
      </w:r>
      <w:r>
        <w:rPr>
          <w:rFonts w:ascii="Times New Roman" w:hAnsi="Times New Roman"/>
          <w:sz w:val="24"/>
        </w:rPr>
        <w:t xml:space="preserve"> ADEX) se han unido bajo una sola entidad: la American Board of Dental Examiners. </w:t>
      </w:r>
    </w:p>
    <w:p w14:paraId="7AC0AD1A" w14:textId="04949FA6" w:rsidR="002604CF" w:rsidRPr="00757754" w:rsidRDefault="002604CF" w:rsidP="009622E9">
      <w:pPr>
        <w:rPr>
          <w:rFonts w:ascii="Times New Roman" w:hAnsi="Times New Roman" w:cs="Times New Roman"/>
          <w:sz w:val="24"/>
          <w:szCs w:val="24"/>
        </w:rPr>
      </w:pPr>
      <w:r>
        <w:rPr>
          <w:rFonts w:ascii="Times New Roman" w:hAnsi="Times New Roman"/>
          <w:sz w:val="24"/>
        </w:rPr>
        <w:t xml:space="preserve">NOTA FISCAL: Casey Nichols, Directora Ejecutiva, ha determinado que en el primer período de cinco años en que esté vigente la regla propuesta, la regla propuesta no tenga implicancias previsibles relativas a costos o rentas de los gobiernos estatal o local. </w:t>
      </w:r>
    </w:p>
    <w:p w14:paraId="4CBDAB64"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NOTA PÚBLICA DE COSTOS Y BENEFICIOS: Casey Nichols también ha determinado que, en el primer período de cinco años en que esté vigente la regla propuesta, el beneficio público anticipado como resultado de esta regla será la protección de la seguridad y el bienestar públicos. </w:t>
      </w:r>
    </w:p>
    <w:p w14:paraId="2364F95D" w14:textId="77777777" w:rsidR="002604CF" w:rsidRPr="00757754" w:rsidRDefault="002604CF" w:rsidP="002604CF">
      <w:pPr>
        <w:spacing w:after="0" w:line="240" w:lineRule="auto"/>
        <w:rPr>
          <w:rFonts w:ascii="Times New Roman" w:hAnsi="Times New Roman" w:cs="Times New Roman"/>
          <w:sz w:val="24"/>
          <w:szCs w:val="24"/>
        </w:rPr>
      </w:pPr>
    </w:p>
    <w:p w14:paraId="73BF3D0C"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DECLARACIÓN DE IMPACTO SOBRE EL EMPLEO LOCAL: Casey Nichols también ha determinado que la regla propuesta no afecta las economías y el empleo locales. </w:t>
      </w:r>
    </w:p>
    <w:p w14:paraId="0A95F484" w14:textId="77777777" w:rsidR="002604CF" w:rsidRPr="00757754" w:rsidRDefault="002604CF" w:rsidP="002604CF">
      <w:pPr>
        <w:spacing w:after="0" w:line="240" w:lineRule="auto"/>
        <w:rPr>
          <w:rFonts w:ascii="Times New Roman" w:hAnsi="Times New Roman" w:cs="Times New Roman"/>
          <w:sz w:val="24"/>
          <w:szCs w:val="24"/>
        </w:rPr>
      </w:pPr>
    </w:p>
    <w:p w14:paraId="35D228DF"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DECLARACIÓN DE IMPACTO SOBRE LAS PEQUEÑAS Y MICROEMPRESAS Y LA COMUNIDAD RURAL: Casey Nichols ha determinado que no se requiere una declaración de impacto económico y análisis de flexibilidad normativa para pequeñas empresas, microempresas y comunidades rurales para esta regla propuesta. </w:t>
      </w:r>
    </w:p>
    <w:p w14:paraId="5A76C056" w14:textId="77777777" w:rsidR="002604CF" w:rsidRPr="00757754" w:rsidRDefault="002604CF" w:rsidP="002604CF">
      <w:pPr>
        <w:spacing w:after="0" w:line="240" w:lineRule="auto"/>
        <w:rPr>
          <w:rFonts w:ascii="Times New Roman" w:hAnsi="Times New Roman" w:cs="Times New Roman"/>
          <w:sz w:val="24"/>
          <w:szCs w:val="24"/>
        </w:rPr>
      </w:pPr>
    </w:p>
    <w:p w14:paraId="6D10C40D" w14:textId="445A3A77" w:rsidR="002604CF"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DECLARACIÓN DE IMPACTO SOBRE EL CRECIMIENTO DEL GOBIERNO: La Junta ha determinado que, durante el primer período de cinco años en que esté vigente la regla, se aplicarían los siguientes efectos sobre el crecimiento gubernamental: (1) la regla propuesta no crea ni elimina un programa gubernamental; (2) la aplicación de la regla propuesta no requiere la creación o eliminación de puestos de empleados; (3) la aplicación de la regla propuesta no requiere un aumento o disminución de las apropiaciones futuras; (4) la regla propuesta no requiere un aumento de las tasas pagadas a la agencia; (5) la regla propuesta no crea un nuevo reglamento; (6) la regla propuesta no amplía un reglamento existente; (7) la regla propuesta no aumenta ni disminuye el número de personas sujetas a ella; y (8) la regla propuesta no afecta positiva o negativamente a la economía del estado. </w:t>
      </w:r>
    </w:p>
    <w:p w14:paraId="7DCE5659" w14:textId="77777777" w:rsidR="00352A6B" w:rsidRPr="00757754" w:rsidRDefault="00352A6B" w:rsidP="002604CF">
      <w:pPr>
        <w:spacing w:after="0" w:line="240" w:lineRule="auto"/>
        <w:rPr>
          <w:rFonts w:ascii="Times New Roman" w:hAnsi="Times New Roman" w:cs="Times New Roman"/>
          <w:sz w:val="24"/>
          <w:szCs w:val="24"/>
        </w:rPr>
      </w:pPr>
    </w:p>
    <w:p w14:paraId="373E0D73"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Se pueden enviar comentarios sobre la regla propuesta a Casey Nichols, Directora Ejecutiva, a 1801 Congress Avenue, Suite 8.600, Austin, Texas 78701, por fax al (512) 649-2482, o por correo electrónico a official_rules_comments@tsbde.texas.gov durante 30 días luego de la fecha de publicación de la regla propuesta en el </w:t>
      </w:r>
      <w:r>
        <w:rPr>
          <w:rFonts w:ascii="Times New Roman" w:hAnsi="Times New Roman"/>
          <w:i/>
          <w:sz w:val="24"/>
        </w:rPr>
        <w:t>Registro de Texas</w:t>
      </w:r>
      <w:r>
        <w:rPr>
          <w:rFonts w:ascii="Times New Roman" w:hAnsi="Times New Roman"/>
          <w:sz w:val="24"/>
        </w:rPr>
        <w:t xml:space="preserve">. Para que se tenga en cuenta a fines de esta creación de reglas, los comentarios deben: (1) tener sello postal o enviarse antes del último día del período de comentarios; o (2) enviarse por fax o correo electrónico antes de la medianoche del último día del período de comentarios. </w:t>
      </w:r>
    </w:p>
    <w:p w14:paraId="6296CFD0" w14:textId="77777777" w:rsidR="002604CF" w:rsidRPr="00757754" w:rsidRDefault="002604CF" w:rsidP="002604CF">
      <w:pPr>
        <w:spacing w:after="0" w:line="240" w:lineRule="auto"/>
        <w:rPr>
          <w:rFonts w:ascii="Times New Roman" w:hAnsi="Times New Roman" w:cs="Times New Roman"/>
          <w:sz w:val="24"/>
          <w:szCs w:val="24"/>
        </w:rPr>
      </w:pPr>
    </w:p>
    <w:p w14:paraId="7D89B7ED" w14:textId="7ABB22B4" w:rsidR="002604CF" w:rsidRDefault="002604CF" w:rsidP="00F57022">
      <w:pPr>
        <w:rPr>
          <w:rFonts w:ascii="Times New Roman" w:hAnsi="Times New Roman" w:cs="Times New Roman"/>
          <w:sz w:val="24"/>
          <w:szCs w:val="24"/>
        </w:rPr>
      </w:pPr>
      <w:r>
        <w:rPr>
          <w:rFonts w:ascii="Times New Roman" w:hAnsi="Times New Roman"/>
          <w:sz w:val="24"/>
        </w:rPr>
        <w:t>Esta regla se propone conforme al Artículo 254.001(a) del Código de Ocupaciones de Texas, que reviste a la Junta de autoridad para adoptar reglas necesarias para realizar sus tareas y garantizar el cumplimiento de las leyes estatales con respecto a la práctica de la odontología en un ámbito profesional para proteger la salud pública y la seguridad.</w:t>
      </w:r>
    </w:p>
    <w:p w14:paraId="782F3C23" w14:textId="5F927621" w:rsidR="00AB1E60" w:rsidRPr="00757754" w:rsidRDefault="00AB1E60" w:rsidP="00F57022">
      <w:pPr>
        <w:rPr>
          <w:rFonts w:ascii="Times New Roman" w:hAnsi="Times New Roman" w:cs="Times New Roman"/>
          <w:sz w:val="24"/>
          <w:szCs w:val="24"/>
        </w:rPr>
      </w:pPr>
      <w:r>
        <w:rPr>
          <w:rFonts w:ascii="Times New Roman" w:hAnsi="Times New Roman"/>
          <w:sz w:val="24"/>
        </w:rPr>
        <w:t>Ninguna ley se ve afectada por esta regla propuesta.</w:t>
      </w:r>
    </w:p>
    <w:p w14:paraId="767D73DA" w14:textId="09D4246B" w:rsidR="002604CF" w:rsidRPr="00757754" w:rsidRDefault="002604CF" w:rsidP="00CD10C4">
      <w:pPr>
        <w:spacing w:after="0" w:line="240" w:lineRule="auto"/>
        <w:rPr>
          <w:rFonts w:ascii="Times New Roman" w:hAnsi="Times New Roman" w:cs="Times New Roman"/>
          <w:sz w:val="24"/>
          <w:szCs w:val="24"/>
        </w:rPr>
      </w:pPr>
      <w:r>
        <w:rPr>
          <w:rFonts w:ascii="Times New Roman" w:hAnsi="Times New Roman"/>
          <w:sz w:val="24"/>
        </w:rPr>
        <w:lastRenderedPageBreak/>
        <w:t xml:space="preserve">Los asesores legales de la Junta han revisado la regla propuesta y determinado que su adopción se encuentra dentro de la autoridad de la Junta. </w:t>
      </w:r>
    </w:p>
    <w:p w14:paraId="035143E8" w14:textId="29B7ED6C" w:rsidR="00171F70" w:rsidRDefault="002604CF" w:rsidP="00465BBD">
      <w:pPr>
        <w:spacing w:after="0" w:line="240" w:lineRule="auto"/>
        <w:rPr>
          <w:rFonts w:ascii="Times New Roman" w:eastAsia="Times New Roman" w:hAnsi="Times New Roman" w:cs="Times New Roman"/>
          <w:sz w:val="24"/>
          <w:szCs w:val="24"/>
        </w:rPr>
      </w:pPr>
      <w:r>
        <w:rPr>
          <w:rFonts w:ascii="Times New Roman" w:hAnsi="Times New Roman"/>
          <w:sz w:val="24"/>
        </w:rPr>
        <w:t>&lt;regla&gt;</w:t>
      </w:r>
    </w:p>
    <w:p w14:paraId="101C2094" w14:textId="77777777" w:rsidR="002A42AF" w:rsidRPr="00B357C2" w:rsidRDefault="002A42AF" w:rsidP="00465BBD">
      <w:pPr>
        <w:spacing w:after="0" w:line="240" w:lineRule="auto"/>
        <w:rPr>
          <w:rFonts w:ascii="Times New Roman" w:eastAsia="Times New Roman" w:hAnsi="Times New Roman" w:cs="Times New Roman"/>
          <w:sz w:val="24"/>
          <w:szCs w:val="24"/>
        </w:rPr>
      </w:pPr>
    </w:p>
    <w:p w14:paraId="62D6448B" w14:textId="12F2E03F" w:rsidR="00C96851" w:rsidRDefault="00465BBD" w:rsidP="00465BBD">
      <w:pPr>
        <w:spacing w:after="0" w:line="240" w:lineRule="auto"/>
        <w:rPr>
          <w:rFonts w:ascii="Times New Roman" w:eastAsia="Times New Roman" w:hAnsi="Times New Roman" w:cs="Times New Roman"/>
          <w:sz w:val="24"/>
          <w:szCs w:val="24"/>
        </w:rPr>
      </w:pPr>
      <w:r>
        <w:rPr>
          <w:rFonts w:ascii="Times New Roman" w:hAnsi="Times New Roman"/>
          <w:sz w:val="24"/>
        </w:rPr>
        <w:t>§104.2. Proveedores de educación continua.</w:t>
      </w:r>
    </w:p>
    <w:p w14:paraId="662B6A95" w14:textId="2AA4B49D" w:rsidR="00F57022" w:rsidRDefault="00F57022" w:rsidP="00465BBD">
      <w:pPr>
        <w:spacing w:after="0" w:line="240" w:lineRule="auto"/>
        <w:rPr>
          <w:rFonts w:ascii="Times New Roman" w:eastAsia="Times New Roman" w:hAnsi="Times New Roman" w:cs="Times New Roman"/>
          <w:sz w:val="24"/>
          <w:szCs w:val="24"/>
        </w:rPr>
      </w:pPr>
    </w:p>
    <w:p w14:paraId="3E200F65" w14:textId="26DF2BA9" w:rsidR="00632717" w:rsidRPr="00632717" w:rsidRDefault="00632717" w:rsidP="00632717">
      <w:pPr>
        <w:rPr>
          <w:rFonts w:ascii="Times New Roman" w:hAnsi="Times New Roman" w:cs="Times New Roman"/>
          <w:sz w:val="24"/>
          <w:szCs w:val="24"/>
        </w:rPr>
      </w:pPr>
      <w:r>
        <w:rPr>
          <w:rFonts w:ascii="Times New Roman" w:hAnsi="Times New Roman"/>
          <w:sz w:val="24"/>
        </w:rPr>
        <w:t>(a) Por la presente, la Junta establece una lista de proveedores de cursos de educación continua. A menos que la ley estatal o la regla de la Junta lo exija específicamente, la Junta no aceptará ni aprobará cursos de educación continua específicos para cumplir los requisitos relacionados con la expedición o renovación de licencias, registros o permisos de sedación/anestesia.</w:t>
      </w:r>
    </w:p>
    <w:p w14:paraId="3CD61E64" w14:textId="5A9AC63D" w:rsidR="00632717" w:rsidRPr="00632717" w:rsidRDefault="00632717" w:rsidP="00632717">
      <w:pPr>
        <w:rPr>
          <w:rFonts w:ascii="Times New Roman" w:hAnsi="Times New Roman" w:cs="Times New Roman"/>
          <w:sz w:val="24"/>
          <w:szCs w:val="24"/>
        </w:rPr>
      </w:pPr>
      <w:r>
        <w:rPr>
          <w:rFonts w:ascii="Times New Roman" w:hAnsi="Times New Roman"/>
          <w:sz w:val="24"/>
        </w:rPr>
        <w:t>(b) Al menos una vez por año calendario, la Junta revisará la lista de proveedores de educación continua y cualquier solicitud presentada para proveedores de educación continua y considerará la incorporación o eliminación de proveedores de la lista proporcionada en este artículo.</w:t>
      </w:r>
    </w:p>
    <w:p w14:paraId="514B82E0" w14:textId="7EB3F5D0" w:rsidR="00632717" w:rsidRPr="00632717" w:rsidRDefault="00632717" w:rsidP="00632717">
      <w:pPr>
        <w:rPr>
          <w:rFonts w:ascii="Times New Roman" w:hAnsi="Times New Roman" w:cs="Times New Roman"/>
          <w:sz w:val="24"/>
          <w:szCs w:val="24"/>
        </w:rPr>
      </w:pPr>
      <w:r>
        <w:rPr>
          <w:rFonts w:ascii="Times New Roman" w:hAnsi="Times New Roman"/>
          <w:sz w:val="24"/>
        </w:rPr>
        <w:t>(1) El presidente podrá crear un comité ad hoc de conformidad con la regla 22 TAC §100.8 (en relación con los comités ad hoc de la Junta) para revisar la incorporación o eliminación de proveedores y formular recomendaciones a la Junta en pleno para su aprobación.</w:t>
      </w:r>
    </w:p>
    <w:p w14:paraId="73FF53A5" w14:textId="58EA1CBB" w:rsidR="00632717" w:rsidRPr="00632717" w:rsidRDefault="00632717" w:rsidP="00632717">
      <w:pPr>
        <w:rPr>
          <w:rFonts w:ascii="Times New Roman" w:hAnsi="Times New Roman" w:cs="Times New Roman"/>
          <w:sz w:val="24"/>
          <w:szCs w:val="24"/>
        </w:rPr>
      </w:pPr>
      <w:r>
        <w:rPr>
          <w:rFonts w:ascii="Times New Roman" w:hAnsi="Times New Roman"/>
          <w:sz w:val="24"/>
        </w:rPr>
        <w:t>(2) La Junta y todo comité ad hoc considerarán clasificar a cada proveedor para la autorización completa como proveedor de educación continua, incluidos cursos clínicos, científicos y de sedación/anestesia, o para una autorización limitada como proveedor de educación continua restringida a cursos relacionados con la gestión de riesgos, el mantenimiento de registros, la ética y la educación continua en tareas no clínicas de asistente dental. Si el proveedor no recibe ninguna clasificación, será considerado un proveedor de educación continua completo.</w:t>
      </w:r>
    </w:p>
    <w:p w14:paraId="0FDD7451" w14:textId="285D08A1" w:rsidR="00632717" w:rsidRPr="00632717" w:rsidRDefault="00632717" w:rsidP="00632717">
      <w:pPr>
        <w:rPr>
          <w:rFonts w:ascii="Times New Roman" w:hAnsi="Times New Roman" w:cs="Times New Roman"/>
          <w:sz w:val="24"/>
          <w:szCs w:val="24"/>
        </w:rPr>
      </w:pPr>
      <w:r>
        <w:rPr>
          <w:rFonts w:ascii="Times New Roman" w:hAnsi="Times New Roman"/>
          <w:sz w:val="24"/>
        </w:rPr>
        <w:t>(3) Toda adición, eliminación o clasificación de proveedores requerirá el voto mayoritario de la Junta en pleno en una reunión abierta. El proveedor que sea considerado para la adición, eliminación o clasificación recibirá una notificación con 10 días hábiles de antelación de la consideración y la oportunidad de comparecer y realizar una presentación o presentar documentación de respaldo en la reunión programada de la Junta o comité ad hoc sobre la adición, eliminación o clasificación.</w:t>
      </w:r>
    </w:p>
    <w:p w14:paraId="21BCAA42" w14:textId="1420C209" w:rsidR="00632717" w:rsidRPr="00632717" w:rsidRDefault="00632717" w:rsidP="00632717">
      <w:pPr>
        <w:rPr>
          <w:rFonts w:ascii="Times New Roman" w:hAnsi="Times New Roman" w:cs="Times New Roman"/>
          <w:sz w:val="24"/>
          <w:szCs w:val="24"/>
        </w:rPr>
      </w:pPr>
      <w:r>
        <w:rPr>
          <w:rFonts w:ascii="Times New Roman" w:hAnsi="Times New Roman"/>
          <w:sz w:val="24"/>
        </w:rPr>
        <w:t>(c) El personal de la Junta elaborará y proporcionará un formulario de solicitud para proveedores de educación continua. El formulario de solicitud ofrecerá instrucciones para presentar información sobre el proveedor y documentación de respaldo. La Junta proporcionará el formulario de solicitud para proveedores de educación continua e instrucciones generales sobre el proceso de solicitud para proveedores de educación continua en su sitio web público. Toda solicitud para convertirse en proveedor autorizado de educación continua debe presentarse mediante el formulario de solicitud proporcionado por la Junta; el incumplimiento de la obligación de utilizar el formulario de solicitud de la Junta será motivo para rechazar la solicitud.</w:t>
      </w:r>
    </w:p>
    <w:p w14:paraId="6A719C86" w14:textId="47C099ED" w:rsidR="00632717" w:rsidRPr="00632717" w:rsidRDefault="00632717" w:rsidP="00632717">
      <w:pPr>
        <w:rPr>
          <w:rFonts w:ascii="Times New Roman" w:hAnsi="Times New Roman" w:cs="Times New Roman"/>
          <w:sz w:val="24"/>
          <w:szCs w:val="24"/>
        </w:rPr>
      </w:pPr>
      <w:r>
        <w:rPr>
          <w:rFonts w:ascii="Times New Roman" w:hAnsi="Times New Roman"/>
          <w:sz w:val="24"/>
        </w:rPr>
        <w:t>(d) La Junta considerará los siguientes criterios al evaluar los proveedores:</w:t>
      </w:r>
    </w:p>
    <w:p w14:paraId="354B5E21" w14:textId="42DDFDF4" w:rsidR="00632717" w:rsidRPr="00632717" w:rsidRDefault="00632717" w:rsidP="00632717">
      <w:pPr>
        <w:rPr>
          <w:rFonts w:ascii="Times New Roman" w:hAnsi="Times New Roman" w:cs="Times New Roman"/>
          <w:sz w:val="24"/>
          <w:szCs w:val="24"/>
        </w:rPr>
      </w:pPr>
      <w:r>
        <w:rPr>
          <w:rFonts w:ascii="Times New Roman" w:hAnsi="Times New Roman"/>
          <w:sz w:val="24"/>
        </w:rPr>
        <w:t>(1) la salud, seguridad y bienestar de los residentes de Texas;</w:t>
      </w:r>
    </w:p>
    <w:p w14:paraId="32D6C982" w14:textId="59643FD9" w:rsidR="00632717" w:rsidRPr="00632717" w:rsidRDefault="00632717" w:rsidP="00632717">
      <w:pPr>
        <w:rPr>
          <w:rFonts w:ascii="Times New Roman" w:hAnsi="Times New Roman" w:cs="Times New Roman"/>
          <w:sz w:val="24"/>
          <w:szCs w:val="24"/>
        </w:rPr>
      </w:pPr>
      <w:r>
        <w:rPr>
          <w:rFonts w:ascii="Times New Roman" w:hAnsi="Times New Roman"/>
          <w:sz w:val="24"/>
        </w:rPr>
        <w:t>(2) acceso a proveedores para titulares de licencias y solicitantes en todas las partes de Texas;</w:t>
      </w:r>
    </w:p>
    <w:p w14:paraId="356F7B9E" w14:textId="75F2493C" w:rsidR="00632717" w:rsidRPr="00632717" w:rsidRDefault="00632717" w:rsidP="00632717">
      <w:pPr>
        <w:rPr>
          <w:rFonts w:ascii="Times New Roman" w:hAnsi="Times New Roman" w:cs="Times New Roman"/>
          <w:sz w:val="24"/>
          <w:szCs w:val="24"/>
        </w:rPr>
      </w:pPr>
      <w:r>
        <w:rPr>
          <w:rFonts w:ascii="Times New Roman" w:hAnsi="Times New Roman"/>
          <w:sz w:val="24"/>
        </w:rPr>
        <w:lastRenderedPageBreak/>
        <w:t>(3) competencia de los proveedores de cursos y calidad de los materiales didácticos;</w:t>
      </w:r>
    </w:p>
    <w:p w14:paraId="6962A359" w14:textId="6AF08818" w:rsidR="00632717" w:rsidRPr="00632717" w:rsidRDefault="00632717" w:rsidP="00632717">
      <w:pPr>
        <w:rPr>
          <w:rFonts w:ascii="Times New Roman" w:hAnsi="Times New Roman" w:cs="Times New Roman"/>
          <w:sz w:val="24"/>
          <w:szCs w:val="24"/>
        </w:rPr>
      </w:pPr>
      <w:r>
        <w:rPr>
          <w:rFonts w:ascii="Times New Roman" w:hAnsi="Times New Roman"/>
          <w:sz w:val="24"/>
        </w:rPr>
        <w:t>(4) auditorías internas y externas, pautas, salvaguardias y normas para garantizar una educación coherente y de calidad; y</w:t>
      </w:r>
    </w:p>
    <w:p w14:paraId="098D5A77" w14:textId="28A1DFF4" w:rsidR="00632717" w:rsidRPr="00632717" w:rsidRDefault="00632717" w:rsidP="00632717">
      <w:pPr>
        <w:rPr>
          <w:rFonts w:ascii="Times New Roman" w:hAnsi="Times New Roman" w:cs="Times New Roman"/>
          <w:sz w:val="24"/>
          <w:szCs w:val="24"/>
        </w:rPr>
      </w:pPr>
      <w:r>
        <w:rPr>
          <w:rFonts w:ascii="Times New Roman" w:hAnsi="Times New Roman"/>
          <w:sz w:val="24"/>
        </w:rPr>
        <w:t>(5) experiencia en educación clínica, profesional o científica demostrable.</w:t>
      </w:r>
    </w:p>
    <w:p w14:paraId="7CD79AB3" w14:textId="65196862" w:rsidR="00632717" w:rsidRPr="00632717" w:rsidRDefault="00632717" w:rsidP="00632717">
      <w:pPr>
        <w:rPr>
          <w:rFonts w:ascii="Times New Roman" w:hAnsi="Times New Roman" w:cs="Times New Roman"/>
          <w:sz w:val="24"/>
          <w:szCs w:val="24"/>
        </w:rPr>
      </w:pPr>
      <w:r>
        <w:rPr>
          <w:rFonts w:ascii="Times New Roman" w:hAnsi="Times New Roman"/>
          <w:sz w:val="24"/>
        </w:rPr>
        <w:t>(e) Los cursos de formación continua avalados por los siguientes proveedores cumplirán los criterios de horas de formación continua aceptables si dichas horas están certificadas por los siguientes proveedores:</w:t>
      </w:r>
    </w:p>
    <w:p w14:paraId="7BB664B5" w14:textId="1AC66227" w:rsidR="00632717" w:rsidRPr="00612466" w:rsidRDefault="00632717" w:rsidP="00632717">
      <w:pPr>
        <w:rPr>
          <w:rFonts w:ascii="Times New Roman" w:hAnsi="Times New Roman" w:cs="Times New Roman"/>
          <w:sz w:val="24"/>
          <w:szCs w:val="24"/>
          <w:lang w:val="en-US"/>
        </w:rPr>
      </w:pPr>
      <w:r w:rsidRPr="00612466">
        <w:rPr>
          <w:rFonts w:ascii="Times New Roman" w:hAnsi="Times New Roman"/>
          <w:sz w:val="24"/>
          <w:lang w:val="en-US"/>
        </w:rPr>
        <w:t>(1) American Dental Association: Continuing Education Recognition Program (CERP);</w:t>
      </w:r>
    </w:p>
    <w:p w14:paraId="555B793F" w14:textId="47B030E2" w:rsidR="00632717" w:rsidRPr="00632717" w:rsidRDefault="00632717" w:rsidP="00632717">
      <w:pPr>
        <w:rPr>
          <w:rFonts w:ascii="Times New Roman" w:hAnsi="Times New Roman" w:cs="Times New Roman"/>
          <w:sz w:val="24"/>
          <w:szCs w:val="24"/>
        </w:rPr>
      </w:pPr>
      <w:r>
        <w:rPr>
          <w:rFonts w:ascii="Times New Roman" w:hAnsi="Times New Roman"/>
          <w:sz w:val="24"/>
        </w:rPr>
        <w:t>(2) American Dental Association, su componente y las organizaciones que la componen;</w:t>
      </w:r>
    </w:p>
    <w:p w14:paraId="1824D48F" w14:textId="4D502937" w:rsidR="00632717" w:rsidRPr="00632717" w:rsidRDefault="00632717" w:rsidP="00632717">
      <w:pPr>
        <w:rPr>
          <w:rFonts w:ascii="Times New Roman" w:hAnsi="Times New Roman" w:cs="Times New Roman"/>
          <w:sz w:val="24"/>
          <w:szCs w:val="24"/>
        </w:rPr>
      </w:pPr>
      <w:r>
        <w:rPr>
          <w:rFonts w:ascii="Times New Roman" w:hAnsi="Times New Roman"/>
          <w:sz w:val="24"/>
        </w:rPr>
        <w:t>(3) Academy of General Dentistry y sus componentes y patrocinadores autorizados;</w:t>
      </w:r>
    </w:p>
    <w:p w14:paraId="5CB18BE9" w14:textId="1749F807" w:rsidR="00632717" w:rsidRPr="00632717" w:rsidRDefault="00632717" w:rsidP="00632717">
      <w:pPr>
        <w:rPr>
          <w:rFonts w:ascii="Times New Roman" w:hAnsi="Times New Roman" w:cs="Times New Roman"/>
          <w:sz w:val="24"/>
          <w:szCs w:val="24"/>
        </w:rPr>
      </w:pPr>
      <w:r>
        <w:rPr>
          <w:rFonts w:ascii="Times New Roman" w:hAnsi="Times New Roman"/>
          <w:sz w:val="24"/>
        </w:rPr>
        <w:t>(4) Facultades y programas de odontología e higiene dental acreditados por la Comisión de Acreditación Odontológica de la American Dental Association;</w:t>
      </w:r>
    </w:p>
    <w:p w14:paraId="23689448" w14:textId="0BBCDE3E" w:rsidR="00632717" w:rsidRPr="00632717" w:rsidRDefault="00632717" w:rsidP="00632717">
      <w:pPr>
        <w:rPr>
          <w:rFonts w:ascii="Times New Roman" w:hAnsi="Times New Roman" w:cs="Times New Roman"/>
          <w:sz w:val="24"/>
          <w:szCs w:val="24"/>
        </w:rPr>
      </w:pPr>
      <w:r>
        <w:rPr>
          <w:rFonts w:ascii="Times New Roman" w:hAnsi="Times New Roman"/>
          <w:sz w:val="24"/>
        </w:rPr>
        <w:t>(5) Organizaciones especializadas aprobadas por la American Dental Association;</w:t>
      </w:r>
    </w:p>
    <w:p w14:paraId="5E734BD3" w14:textId="67A69EC1" w:rsidR="00632717" w:rsidRPr="00632717" w:rsidRDefault="00632717" w:rsidP="00632717">
      <w:pPr>
        <w:rPr>
          <w:rFonts w:ascii="Times New Roman" w:hAnsi="Times New Roman" w:cs="Times New Roman"/>
          <w:sz w:val="24"/>
          <w:szCs w:val="24"/>
        </w:rPr>
      </w:pPr>
      <w:r>
        <w:rPr>
          <w:rFonts w:ascii="Times New Roman" w:hAnsi="Times New Roman"/>
          <w:sz w:val="24"/>
        </w:rPr>
        <w:t>(6) American Dental Hygienists' Association, sus componentes y las organizaciones que la componen;</w:t>
      </w:r>
    </w:p>
    <w:p w14:paraId="4F9A72D7" w14:textId="7E252EB9" w:rsidR="00632717" w:rsidRPr="00632717" w:rsidRDefault="00632717" w:rsidP="00632717">
      <w:pPr>
        <w:rPr>
          <w:rFonts w:ascii="Times New Roman" w:hAnsi="Times New Roman" w:cs="Times New Roman"/>
          <w:sz w:val="24"/>
          <w:szCs w:val="24"/>
        </w:rPr>
      </w:pPr>
      <w:r>
        <w:rPr>
          <w:rFonts w:ascii="Times New Roman" w:hAnsi="Times New Roman"/>
          <w:sz w:val="24"/>
        </w:rPr>
        <w:t>(7) Organizaciones especializadas aprobadas por la American Medical Association;</w:t>
      </w:r>
    </w:p>
    <w:p w14:paraId="43329A2B" w14:textId="737E5C86" w:rsidR="00632717" w:rsidRPr="00632717" w:rsidRDefault="00632717" w:rsidP="00632717">
      <w:pPr>
        <w:rPr>
          <w:rFonts w:ascii="Times New Roman" w:hAnsi="Times New Roman" w:cs="Times New Roman"/>
          <w:sz w:val="24"/>
          <w:szCs w:val="24"/>
        </w:rPr>
      </w:pPr>
      <w:r>
        <w:rPr>
          <w:rFonts w:ascii="Times New Roman" w:hAnsi="Times New Roman"/>
          <w:sz w:val="24"/>
        </w:rPr>
        <w:t>(8) Cursos hospitalarios aprobados por la American Dental Association;</w:t>
      </w:r>
    </w:p>
    <w:p w14:paraId="514B3993" w14:textId="51B0817B" w:rsidR="00632717" w:rsidRPr="00632717" w:rsidRDefault="00632717" w:rsidP="00632717">
      <w:pPr>
        <w:rPr>
          <w:rFonts w:ascii="Times New Roman" w:hAnsi="Times New Roman" w:cs="Times New Roman"/>
          <w:sz w:val="24"/>
          <w:szCs w:val="24"/>
        </w:rPr>
      </w:pPr>
      <w:r>
        <w:rPr>
          <w:rFonts w:ascii="Times New Roman" w:hAnsi="Times New Roman"/>
          <w:sz w:val="24"/>
        </w:rPr>
        <w:t>(9) National Dental Association, sus componentes y las sociedades que la componen;</w:t>
      </w:r>
    </w:p>
    <w:p w14:paraId="0A12C5C4" w14:textId="7B642ECF" w:rsidR="00632717" w:rsidRPr="00632717" w:rsidRDefault="00632717" w:rsidP="00632717">
      <w:pPr>
        <w:rPr>
          <w:rFonts w:ascii="Times New Roman" w:hAnsi="Times New Roman" w:cs="Times New Roman"/>
          <w:sz w:val="24"/>
          <w:szCs w:val="24"/>
        </w:rPr>
      </w:pPr>
      <w:r>
        <w:rPr>
          <w:rFonts w:ascii="Times New Roman" w:hAnsi="Times New Roman"/>
          <w:sz w:val="24"/>
        </w:rPr>
        <w:t>(10) National Dental Hygienists' Association, sus componentes y las sociedades que la componen;</w:t>
      </w:r>
    </w:p>
    <w:p w14:paraId="77601AD8" w14:textId="4D64C751" w:rsidR="00632717" w:rsidRPr="00632717" w:rsidRDefault="00632717" w:rsidP="00632717">
      <w:pPr>
        <w:rPr>
          <w:rFonts w:ascii="Times New Roman" w:hAnsi="Times New Roman" w:cs="Times New Roman"/>
          <w:sz w:val="24"/>
          <w:szCs w:val="24"/>
        </w:rPr>
      </w:pPr>
      <w:r>
        <w:rPr>
          <w:rFonts w:ascii="Times New Roman" w:hAnsi="Times New Roman"/>
          <w:sz w:val="24"/>
        </w:rPr>
        <w:t>(11) Facultades y programas acreditados por las Normas de Especialidades Médicas, la American Medical Association, la Advisory Board for Osteopathic Specialists and Boards of Certification o la American Osteopathic Association;</w:t>
      </w:r>
    </w:p>
    <w:p w14:paraId="4AF9DFB2" w14:textId="065BC81B" w:rsidR="00632717" w:rsidRPr="00612466" w:rsidRDefault="00632717" w:rsidP="00632717">
      <w:pPr>
        <w:rPr>
          <w:rFonts w:ascii="Times New Roman" w:hAnsi="Times New Roman" w:cs="Times New Roman"/>
          <w:sz w:val="24"/>
          <w:szCs w:val="24"/>
          <w:lang w:val="en-US"/>
        </w:rPr>
      </w:pPr>
      <w:r w:rsidRPr="00612466">
        <w:rPr>
          <w:rFonts w:ascii="Times New Roman" w:hAnsi="Times New Roman"/>
          <w:sz w:val="24"/>
          <w:lang w:val="en-US"/>
        </w:rPr>
        <w:t xml:space="preserve">(12) La </w:t>
      </w:r>
      <w:r w:rsidRPr="00612466">
        <w:rPr>
          <w:rFonts w:ascii="Times New Roman" w:hAnsi="Times New Roman"/>
          <w:sz w:val="24"/>
          <w:u w:val="single"/>
          <w:lang w:val="en-US"/>
        </w:rPr>
        <w:t>American Board of Dental Examiners (ADEX)</w:t>
      </w:r>
      <w:r w:rsidRPr="00612466">
        <w:rPr>
          <w:rFonts w:ascii="Times New Roman" w:hAnsi="Times New Roman"/>
          <w:sz w:val="24"/>
          <w:lang w:val="en-US"/>
        </w:rPr>
        <w:t xml:space="preserve"> [</w:t>
      </w:r>
      <w:r w:rsidRPr="00612466">
        <w:rPr>
          <w:rFonts w:ascii="Times New Roman" w:hAnsi="Times New Roman"/>
          <w:strike/>
          <w:sz w:val="24"/>
          <w:lang w:val="en-US"/>
        </w:rPr>
        <w:t>Commission on Dental Competency Assessments-The Western Regional Examining Board-The Council of Interstate Testing Agencies (CDCA-WREB-CITA)</w:t>
      </w:r>
      <w:r w:rsidRPr="00612466">
        <w:rPr>
          <w:rFonts w:ascii="Times New Roman" w:hAnsi="Times New Roman"/>
          <w:sz w:val="24"/>
          <w:lang w:val="en-US"/>
        </w:rPr>
        <w:t>] y Central Regional Dental Testing Services-States Resources for Testing and Assessments (CRDTS-SRTA);</w:t>
      </w:r>
    </w:p>
    <w:p w14:paraId="0FA8C63C" w14:textId="4AE1401A" w:rsidR="00632717" w:rsidRPr="00612466" w:rsidRDefault="00632717" w:rsidP="00632717">
      <w:pPr>
        <w:rPr>
          <w:rFonts w:ascii="Times New Roman" w:hAnsi="Times New Roman" w:cs="Times New Roman"/>
          <w:sz w:val="24"/>
          <w:szCs w:val="24"/>
          <w:lang w:val="en-US"/>
        </w:rPr>
      </w:pPr>
      <w:r w:rsidRPr="00612466">
        <w:rPr>
          <w:rFonts w:ascii="Times New Roman" w:hAnsi="Times New Roman"/>
          <w:sz w:val="24"/>
          <w:lang w:val="en-US"/>
        </w:rPr>
        <w:t>(13) American Academy of Dental Hygiene;</w:t>
      </w:r>
    </w:p>
    <w:p w14:paraId="4D4E6B4E" w14:textId="3E6500A2" w:rsidR="00632717" w:rsidRPr="00612466" w:rsidRDefault="00632717" w:rsidP="00632717">
      <w:pPr>
        <w:rPr>
          <w:rFonts w:ascii="Times New Roman" w:hAnsi="Times New Roman" w:cs="Times New Roman"/>
          <w:sz w:val="24"/>
          <w:szCs w:val="24"/>
          <w:lang w:val="en-US"/>
        </w:rPr>
      </w:pPr>
      <w:r w:rsidRPr="00612466">
        <w:rPr>
          <w:rFonts w:ascii="Times New Roman" w:hAnsi="Times New Roman"/>
          <w:sz w:val="24"/>
          <w:lang w:val="en-US"/>
        </w:rPr>
        <w:t>(14) American Dental Education Association;</w:t>
      </w:r>
    </w:p>
    <w:p w14:paraId="02AC04CD" w14:textId="43D622DD" w:rsidR="00632717" w:rsidRPr="00612466" w:rsidRDefault="00632717" w:rsidP="00632717">
      <w:pPr>
        <w:rPr>
          <w:rFonts w:ascii="Times New Roman" w:hAnsi="Times New Roman" w:cs="Times New Roman"/>
          <w:sz w:val="24"/>
          <w:szCs w:val="24"/>
          <w:lang w:val="en-US"/>
        </w:rPr>
      </w:pPr>
      <w:r w:rsidRPr="00612466">
        <w:rPr>
          <w:rFonts w:ascii="Times New Roman" w:hAnsi="Times New Roman"/>
          <w:sz w:val="24"/>
          <w:lang w:val="en-US"/>
        </w:rPr>
        <w:t>(15) American Heart Association;</w:t>
      </w:r>
    </w:p>
    <w:p w14:paraId="006638C0" w14:textId="0904543A" w:rsidR="00632717" w:rsidRPr="00612466" w:rsidRDefault="00632717" w:rsidP="00632717">
      <w:pPr>
        <w:rPr>
          <w:rFonts w:ascii="Times New Roman" w:hAnsi="Times New Roman" w:cs="Times New Roman"/>
          <w:sz w:val="24"/>
          <w:szCs w:val="24"/>
          <w:lang w:val="en-US"/>
        </w:rPr>
      </w:pPr>
      <w:r w:rsidRPr="00612466">
        <w:rPr>
          <w:rFonts w:ascii="Times New Roman" w:hAnsi="Times New Roman"/>
          <w:sz w:val="24"/>
          <w:lang w:val="en-US"/>
        </w:rPr>
        <w:t>(16) Texas Dental Hygiene Educators' Association;</w:t>
      </w:r>
    </w:p>
    <w:p w14:paraId="2D71F561" w14:textId="061FE3AE" w:rsidR="00632717" w:rsidRPr="00612466" w:rsidRDefault="00632717" w:rsidP="00632717">
      <w:pPr>
        <w:rPr>
          <w:rFonts w:ascii="Times New Roman" w:hAnsi="Times New Roman" w:cs="Times New Roman"/>
          <w:sz w:val="24"/>
          <w:szCs w:val="24"/>
          <w:lang w:val="en-US"/>
        </w:rPr>
      </w:pPr>
      <w:r w:rsidRPr="00612466">
        <w:rPr>
          <w:rFonts w:ascii="Times New Roman" w:hAnsi="Times New Roman"/>
          <w:sz w:val="24"/>
          <w:lang w:val="en-US"/>
        </w:rPr>
        <w:t>(17) Dental Laboratory Association of Texas;</w:t>
      </w:r>
    </w:p>
    <w:p w14:paraId="1DE73DC5" w14:textId="106E3CF1" w:rsidR="00632717" w:rsidRPr="00612466" w:rsidRDefault="00632717" w:rsidP="00632717">
      <w:pPr>
        <w:rPr>
          <w:rFonts w:ascii="Times New Roman" w:hAnsi="Times New Roman" w:cs="Times New Roman"/>
          <w:sz w:val="24"/>
          <w:szCs w:val="24"/>
          <w:lang w:val="en-US"/>
        </w:rPr>
      </w:pPr>
      <w:r w:rsidRPr="00612466">
        <w:rPr>
          <w:rFonts w:ascii="Times New Roman" w:hAnsi="Times New Roman"/>
          <w:sz w:val="24"/>
          <w:lang w:val="en-US"/>
        </w:rPr>
        <w:lastRenderedPageBreak/>
        <w:t>(18) Dental Assisting National Board;</w:t>
      </w:r>
    </w:p>
    <w:p w14:paraId="76F9A90E" w14:textId="70249BE6" w:rsidR="00632717" w:rsidRPr="00612466" w:rsidRDefault="00632717" w:rsidP="00632717">
      <w:pPr>
        <w:rPr>
          <w:rFonts w:ascii="Times New Roman" w:hAnsi="Times New Roman" w:cs="Times New Roman"/>
          <w:sz w:val="24"/>
          <w:szCs w:val="24"/>
          <w:lang w:val="en-US"/>
        </w:rPr>
      </w:pPr>
      <w:r w:rsidRPr="00612466">
        <w:rPr>
          <w:rFonts w:ascii="Times New Roman" w:hAnsi="Times New Roman"/>
          <w:sz w:val="24"/>
          <w:lang w:val="en-US"/>
        </w:rPr>
        <w:t>(19) American Dental Hygienists' Association y las organizaciones que la componen;</w:t>
      </w:r>
    </w:p>
    <w:p w14:paraId="01901D90" w14:textId="477DC928" w:rsidR="00632717" w:rsidRPr="00612466" w:rsidRDefault="00632717" w:rsidP="00632717">
      <w:pPr>
        <w:rPr>
          <w:rFonts w:ascii="Times New Roman" w:hAnsi="Times New Roman" w:cs="Times New Roman"/>
          <w:sz w:val="24"/>
          <w:szCs w:val="24"/>
          <w:lang w:val="en-US"/>
        </w:rPr>
      </w:pPr>
      <w:r w:rsidRPr="00612466">
        <w:rPr>
          <w:rFonts w:ascii="Times New Roman" w:hAnsi="Times New Roman"/>
          <w:sz w:val="24"/>
          <w:lang w:val="en-US"/>
        </w:rPr>
        <w:t>(20) The Compliance Division, LLC;</w:t>
      </w:r>
    </w:p>
    <w:p w14:paraId="4FAA47B4" w14:textId="3F9ACE16" w:rsidR="00632717" w:rsidRPr="00612466" w:rsidRDefault="00632717" w:rsidP="00632717">
      <w:pPr>
        <w:rPr>
          <w:rFonts w:ascii="Times New Roman" w:hAnsi="Times New Roman" w:cs="Times New Roman"/>
          <w:sz w:val="24"/>
          <w:szCs w:val="24"/>
          <w:lang w:val="en-US"/>
        </w:rPr>
      </w:pPr>
      <w:r w:rsidRPr="00612466">
        <w:rPr>
          <w:rFonts w:ascii="Times New Roman" w:hAnsi="Times New Roman"/>
          <w:sz w:val="24"/>
          <w:lang w:val="en-US"/>
        </w:rPr>
        <w:t>(21) Dental Compliance Specialists, LLC; y</w:t>
      </w:r>
    </w:p>
    <w:p w14:paraId="1CFACAA5" w14:textId="75900843" w:rsidR="00632717" w:rsidRPr="00632717" w:rsidRDefault="00632717" w:rsidP="00632717">
      <w:pPr>
        <w:rPr>
          <w:rFonts w:ascii="Times New Roman" w:hAnsi="Times New Roman" w:cs="Times New Roman"/>
          <w:sz w:val="24"/>
          <w:szCs w:val="24"/>
        </w:rPr>
      </w:pPr>
      <w:r>
        <w:rPr>
          <w:rFonts w:ascii="Times New Roman" w:hAnsi="Times New Roman"/>
          <w:sz w:val="24"/>
        </w:rPr>
        <w:t xml:space="preserve">(22) Otras entidades aprobadas por </w:t>
      </w:r>
      <w:r w:rsidR="00612466">
        <w:rPr>
          <w:rFonts w:ascii="Times New Roman" w:hAnsi="Times New Roman"/>
          <w:sz w:val="24"/>
        </w:rPr>
        <w:t>la</w:t>
      </w:r>
      <w:r>
        <w:rPr>
          <w:rFonts w:ascii="Times New Roman" w:hAnsi="Times New Roman"/>
          <w:sz w:val="24"/>
        </w:rPr>
        <w:t xml:space="preserve"> Junta como se muestra en el gráfico adjunto para este artículo.</w:t>
      </w:r>
    </w:p>
    <w:p w14:paraId="54FFCE6B" w14:textId="74B694DE" w:rsidR="00AC4132" w:rsidRPr="00B357C2" w:rsidRDefault="008213F9" w:rsidP="008213F9">
      <w:pPr>
        <w:rPr>
          <w:rFonts w:ascii="Times New Roman" w:hAnsi="Times New Roman" w:cs="Times New Roman"/>
          <w:sz w:val="24"/>
          <w:szCs w:val="24"/>
        </w:rPr>
      </w:pPr>
      <w:r>
        <w:rPr>
          <w:rFonts w:ascii="Times New Roman" w:hAnsi="Times New Roman"/>
          <w:sz w:val="24"/>
        </w:rPr>
        <w:t>Gráfico: 22 TAC §104.2(e)(22) (Sin cambios).</w:t>
      </w:r>
    </w:p>
    <w:sectPr w:rsidR="00AC4132" w:rsidRPr="00B357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06CF8"/>
    <w:multiLevelType w:val="hybridMultilevel"/>
    <w:tmpl w:val="7A3E37D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263CAD"/>
    <w:multiLevelType w:val="hybridMultilevel"/>
    <w:tmpl w:val="989C0606"/>
    <w:lvl w:ilvl="0" w:tplc="5E264FF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B6134F"/>
    <w:multiLevelType w:val="hybridMultilevel"/>
    <w:tmpl w:val="45623872"/>
    <w:lvl w:ilvl="0" w:tplc="044AD600">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3" w15:restartNumberingAfterBreak="0">
    <w:nsid w:val="4AC101D0"/>
    <w:multiLevelType w:val="hybridMultilevel"/>
    <w:tmpl w:val="C3BC856C"/>
    <w:lvl w:ilvl="0" w:tplc="7B18DECE">
      <w:start w:val="1"/>
      <w:numFmt w:val="lowerRoman"/>
      <w:lvlText w:val="%1."/>
      <w:lvlJc w:val="right"/>
      <w:pPr>
        <w:ind w:left="720" w:hanging="360"/>
      </w:pPr>
      <w:rPr>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253A13"/>
    <w:multiLevelType w:val="hybridMultilevel"/>
    <w:tmpl w:val="97808DD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ADC03FD"/>
    <w:multiLevelType w:val="hybridMultilevel"/>
    <w:tmpl w:val="6180CC54"/>
    <w:lvl w:ilvl="0" w:tplc="3B2C5AD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04500736">
    <w:abstractNumId w:val="2"/>
  </w:num>
  <w:num w:numId="2" w16cid:durableId="568468561">
    <w:abstractNumId w:val="5"/>
  </w:num>
  <w:num w:numId="3" w16cid:durableId="464011847">
    <w:abstractNumId w:val="1"/>
  </w:num>
  <w:num w:numId="4" w16cid:durableId="95298869">
    <w:abstractNumId w:val="3"/>
  </w:num>
  <w:num w:numId="5" w16cid:durableId="802163980">
    <w:abstractNumId w:val="4"/>
  </w:num>
  <w:num w:numId="6" w16cid:durableId="20741114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BBD"/>
    <w:rsid w:val="0000070B"/>
    <w:rsid w:val="00006752"/>
    <w:rsid w:val="000262A7"/>
    <w:rsid w:val="00026B91"/>
    <w:rsid w:val="000322BD"/>
    <w:rsid w:val="00033CF5"/>
    <w:rsid w:val="00044D21"/>
    <w:rsid w:val="00054B7F"/>
    <w:rsid w:val="0005764D"/>
    <w:rsid w:val="00063A73"/>
    <w:rsid w:val="00076D07"/>
    <w:rsid w:val="000878F1"/>
    <w:rsid w:val="000A0599"/>
    <w:rsid w:val="000A1C7D"/>
    <w:rsid w:val="000A32EC"/>
    <w:rsid w:val="000A39F2"/>
    <w:rsid w:val="000B274D"/>
    <w:rsid w:val="000B5325"/>
    <w:rsid w:val="000C5F08"/>
    <w:rsid w:val="000E42B7"/>
    <w:rsid w:val="000E7DF5"/>
    <w:rsid w:val="000F3007"/>
    <w:rsid w:val="00104706"/>
    <w:rsid w:val="00147C5A"/>
    <w:rsid w:val="00152CEF"/>
    <w:rsid w:val="001566E2"/>
    <w:rsid w:val="0016410C"/>
    <w:rsid w:val="00170261"/>
    <w:rsid w:val="00171F70"/>
    <w:rsid w:val="001756AF"/>
    <w:rsid w:val="00186156"/>
    <w:rsid w:val="00197AF8"/>
    <w:rsid w:val="001A0A1E"/>
    <w:rsid w:val="001A28C3"/>
    <w:rsid w:val="001B1402"/>
    <w:rsid w:val="001C2097"/>
    <w:rsid w:val="001C40E8"/>
    <w:rsid w:val="001C74D1"/>
    <w:rsid w:val="001D3125"/>
    <w:rsid w:val="001F01F6"/>
    <w:rsid w:val="001F1F84"/>
    <w:rsid w:val="00200BD6"/>
    <w:rsid w:val="00202077"/>
    <w:rsid w:val="00216CA1"/>
    <w:rsid w:val="002252B0"/>
    <w:rsid w:val="00230669"/>
    <w:rsid w:val="002553FF"/>
    <w:rsid w:val="002604CF"/>
    <w:rsid w:val="002641FC"/>
    <w:rsid w:val="002648F2"/>
    <w:rsid w:val="00274417"/>
    <w:rsid w:val="0028586D"/>
    <w:rsid w:val="00291A81"/>
    <w:rsid w:val="00292D96"/>
    <w:rsid w:val="002A42AF"/>
    <w:rsid w:val="002A5516"/>
    <w:rsid w:val="002A7368"/>
    <w:rsid w:val="002B2D03"/>
    <w:rsid w:val="002B56EF"/>
    <w:rsid w:val="002C0441"/>
    <w:rsid w:val="002C5DD1"/>
    <w:rsid w:val="002E1F0B"/>
    <w:rsid w:val="002E3B47"/>
    <w:rsid w:val="002E6473"/>
    <w:rsid w:val="002F2DC2"/>
    <w:rsid w:val="00306674"/>
    <w:rsid w:val="0030725D"/>
    <w:rsid w:val="00310B3D"/>
    <w:rsid w:val="00311937"/>
    <w:rsid w:val="003122D4"/>
    <w:rsid w:val="00313E39"/>
    <w:rsid w:val="003253F2"/>
    <w:rsid w:val="00330211"/>
    <w:rsid w:val="00335CAF"/>
    <w:rsid w:val="00336E81"/>
    <w:rsid w:val="00343EBA"/>
    <w:rsid w:val="00352A6B"/>
    <w:rsid w:val="003574B2"/>
    <w:rsid w:val="0036237B"/>
    <w:rsid w:val="0037047E"/>
    <w:rsid w:val="00380CE5"/>
    <w:rsid w:val="00386F51"/>
    <w:rsid w:val="003A1DC0"/>
    <w:rsid w:val="003A259D"/>
    <w:rsid w:val="003A6689"/>
    <w:rsid w:val="003A7EEA"/>
    <w:rsid w:val="003C4979"/>
    <w:rsid w:val="003C7A4C"/>
    <w:rsid w:val="003E109C"/>
    <w:rsid w:val="003E2C59"/>
    <w:rsid w:val="003E5C9D"/>
    <w:rsid w:val="003F0121"/>
    <w:rsid w:val="00403D6C"/>
    <w:rsid w:val="004111C7"/>
    <w:rsid w:val="0041347F"/>
    <w:rsid w:val="00416E66"/>
    <w:rsid w:val="004171B1"/>
    <w:rsid w:val="004254CA"/>
    <w:rsid w:val="004454E9"/>
    <w:rsid w:val="004655DE"/>
    <w:rsid w:val="00465BBD"/>
    <w:rsid w:val="0047583E"/>
    <w:rsid w:val="00476A97"/>
    <w:rsid w:val="00490983"/>
    <w:rsid w:val="004A0142"/>
    <w:rsid w:val="004C180D"/>
    <w:rsid w:val="004D41B8"/>
    <w:rsid w:val="004E35FE"/>
    <w:rsid w:val="004E5C87"/>
    <w:rsid w:val="005223AC"/>
    <w:rsid w:val="0052741D"/>
    <w:rsid w:val="005278E7"/>
    <w:rsid w:val="00527CEE"/>
    <w:rsid w:val="00531962"/>
    <w:rsid w:val="00531DD4"/>
    <w:rsid w:val="00536B7E"/>
    <w:rsid w:val="005576F5"/>
    <w:rsid w:val="00561AD2"/>
    <w:rsid w:val="00567836"/>
    <w:rsid w:val="00571C31"/>
    <w:rsid w:val="00575A8A"/>
    <w:rsid w:val="00583FD3"/>
    <w:rsid w:val="00594F2B"/>
    <w:rsid w:val="005A10A7"/>
    <w:rsid w:val="005A3911"/>
    <w:rsid w:val="005B7AB8"/>
    <w:rsid w:val="005C35A4"/>
    <w:rsid w:val="005C5920"/>
    <w:rsid w:val="005E1C28"/>
    <w:rsid w:val="005E1FAB"/>
    <w:rsid w:val="005E5973"/>
    <w:rsid w:val="005F1CE3"/>
    <w:rsid w:val="00612466"/>
    <w:rsid w:val="006149EB"/>
    <w:rsid w:val="006321BD"/>
    <w:rsid w:val="00632717"/>
    <w:rsid w:val="00634379"/>
    <w:rsid w:val="00634CFD"/>
    <w:rsid w:val="0063536D"/>
    <w:rsid w:val="00636A90"/>
    <w:rsid w:val="006377D8"/>
    <w:rsid w:val="0064197C"/>
    <w:rsid w:val="00643D5F"/>
    <w:rsid w:val="00666027"/>
    <w:rsid w:val="006700BE"/>
    <w:rsid w:val="00675328"/>
    <w:rsid w:val="00687ADA"/>
    <w:rsid w:val="00697BE7"/>
    <w:rsid w:val="006B273B"/>
    <w:rsid w:val="006B5603"/>
    <w:rsid w:val="006C76DD"/>
    <w:rsid w:val="006D0841"/>
    <w:rsid w:val="006D2F1E"/>
    <w:rsid w:val="006D45C6"/>
    <w:rsid w:val="006E21E7"/>
    <w:rsid w:val="006E54AD"/>
    <w:rsid w:val="006F2A4C"/>
    <w:rsid w:val="00704AA5"/>
    <w:rsid w:val="00715C72"/>
    <w:rsid w:val="00725748"/>
    <w:rsid w:val="00725C59"/>
    <w:rsid w:val="00727BE3"/>
    <w:rsid w:val="00741B01"/>
    <w:rsid w:val="00750185"/>
    <w:rsid w:val="00750F9D"/>
    <w:rsid w:val="00752B19"/>
    <w:rsid w:val="00762C16"/>
    <w:rsid w:val="00765F24"/>
    <w:rsid w:val="00767379"/>
    <w:rsid w:val="00771267"/>
    <w:rsid w:val="007916EA"/>
    <w:rsid w:val="007B1764"/>
    <w:rsid w:val="007B417D"/>
    <w:rsid w:val="007B4E8C"/>
    <w:rsid w:val="007C1BE2"/>
    <w:rsid w:val="007C3248"/>
    <w:rsid w:val="007C5EE2"/>
    <w:rsid w:val="007C62E5"/>
    <w:rsid w:val="007D29E5"/>
    <w:rsid w:val="007D4D90"/>
    <w:rsid w:val="007D5B91"/>
    <w:rsid w:val="007D7714"/>
    <w:rsid w:val="007F0D84"/>
    <w:rsid w:val="007F1207"/>
    <w:rsid w:val="007F34E2"/>
    <w:rsid w:val="00804D11"/>
    <w:rsid w:val="008126A1"/>
    <w:rsid w:val="008213F9"/>
    <w:rsid w:val="00831E35"/>
    <w:rsid w:val="00833BB0"/>
    <w:rsid w:val="00836A52"/>
    <w:rsid w:val="00837590"/>
    <w:rsid w:val="00840F41"/>
    <w:rsid w:val="00852781"/>
    <w:rsid w:val="00881B30"/>
    <w:rsid w:val="00883AE3"/>
    <w:rsid w:val="00893647"/>
    <w:rsid w:val="008A5A5E"/>
    <w:rsid w:val="008A743C"/>
    <w:rsid w:val="008B33C9"/>
    <w:rsid w:val="008B6299"/>
    <w:rsid w:val="008D01E7"/>
    <w:rsid w:val="008D6B97"/>
    <w:rsid w:val="008F1CCC"/>
    <w:rsid w:val="008F282B"/>
    <w:rsid w:val="00912B71"/>
    <w:rsid w:val="0091317E"/>
    <w:rsid w:val="00914B68"/>
    <w:rsid w:val="009247D3"/>
    <w:rsid w:val="00944909"/>
    <w:rsid w:val="00945870"/>
    <w:rsid w:val="00951A62"/>
    <w:rsid w:val="009570B0"/>
    <w:rsid w:val="009622E9"/>
    <w:rsid w:val="00974818"/>
    <w:rsid w:val="00991BFD"/>
    <w:rsid w:val="00992FF6"/>
    <w:rsid w:val="009A05FE"/>
    <w:rsid w:val="009B07BD"/>
    <w:rsid w:val="009B0E4E"/>
    <w:rsid w:val="009B4063"/>
    <w:rsid w:val="009B60AA"/>
    <w:rsid w:val="009B60EA"/>
    <w:rsid w:val="009C66C4"/>
    <w:rsid w:val="009D0E77"/>
    <w:rsid w:val="009E0989"/>
    <w:rsid w:val="009E6B31"/>
    <w:rsid w:val="009F4198"/>
    <w:rsid w:val="00A0308B"/>
    <w:rsid w:val="00A07096"/>
    <w:rsid w:val="00A15C28"/>
    <w:rsid w:val="00A15CEF"/>
    <w:rsid w:val="00A21984"/>
    <w:rsid w:val="00A30FF3"/>
    <w:rsid w:val="00A37891"/>
    <w:rsid w:val="00A45E82"/>
    <w:rsid w:val="00A5420A"/>
    <w:rsid w:val="00A56300"/>
    <w:rsid w:val="00A57ABD"/>
    <w:rsid w:val="00A6376E"/>
    <w:rsid w:val="00A722CF"/>
    <w:rsid w:val="00A85AA1"/>
    <w:rsid w:val="00A926E3"/>
    <w:rsid w:val="00A972C7"/>
    <w:rsid w:val="00AA3F0D"/>
    <w:rsid w:val="00AB1E60"/>
    <w:rsid w:val="00AB67CD"/>
    <w:rsid w:val="00AC4132"/>
    <w:rsid w:val="00AC5B45"/>
    <w:rsid w:val="00AE03D3"/>
    <w:rsid w:val="00AE2A72"/>
    <w:rsid w:val="00AE6C18"/>
    <w:rsid w:val="00AE7799"/>
    <w:rsid w:val="00AF538A"/>
    <w:rsid w:val="00B02EF7"/>
    <w:rsid w:val="00B1396B"/>
    <w:rsid w:val="00B22141"/>
    <w:rsid w:val="00B230E5"/>
    <w:rsid w:val="00B330BA"/>
    <w:rsid w:val="00B357C2"/>
    <w:rsid w:val="00B3790C"/>
    <w:rsid w:val="00B708FB"/>
    <w:rsid w:val="00B70F15"/>
    <w:rsid w:val="00B84053"/>
    <w:rsid w:val="00B95EF2"/>
    <w:rsid w:val="00BA5F83"/>
    <w:rsid w:val="00BB6A66"/>
    <w:rsid w:val="00BC0AF4"/>
    <w:rsid w:val="00BC3F78"/>
    <w:rsid w:val="00BD5C88"/>
    <w:rsid w:val="00BE4186"/>
    <w:rsid w:val="00BE544F"/>
    <w:rsid w:val="00BE59CB"/>
    <w:rsid w:val="00BE5C00"/>
    <w:rsid w:val="00C20ABF"/>
    <w:rsid w:val="00C4226C"/>
    <w:rsid w:val="00C45C88"/>
    <w:rsid w:val="00C45EAC"/>
    <w:rsid w:val="00C502EE"/>
    <w:rsid w:val="00C5127F"/>
    <w:rsid w:val="00C54CCD"/>
    <w:rsid w:val="00C56410"/>
    <w:rsid w:val="00C574FA"/>
    <w:rsid w:val="00C6074A"/>
    <w:rsid w:val="00C6251C"/>
    <w:rsid w:val="00C676F3"/>
    <w:rsid w:val="00C87461"/>
    <w:rsid w:val="00C87FB7"/>
    <w:rsid w:val="00C91729"/>
    <w:rsid w:val="00C9313B"/>
    <w:rsid w:val="00C96851"/>
    <w:rsid w:val="00CA444B"/>
    <w:rsid w:val="00CA454D"/>
    <w:rsid w:val="00CB1069"/>
    <w:rsid w:val="00CC33AC"/>
    <w:rsid w:val="00CD10C4"/>
    <w:rsid w:val="00CD384E"/>
    <w:rsid w:val="00CE11EE"/>
    <w:rsid w:val="00CF187D"/>
    <w:rsid w:val="00CF1F70"/>
    <w:rsid w:val="00CF48B1"/>
    <w:rsid w:val="00D07113"/>
    <w:rsid w:val="00D12C28"/>
    <w:rsid w:val="00D17F3C"/>
    <w:rsid w:val="00D41505"/>
    <w:rsid w:val="00D9062B"/>
    <w:rsid w:val="00DA1A86"/>
    <w:rsid w:val="00DA633D"/>
    <w:rsid w:val="00DA7638"/>
    <w:rsid w:val="00DC54CE"/>
    <w:rsid w:val="00DD0FCE"/>
    <w:rsid w:val="00DD561E"/>
    <w:rsid w:val="00DD669C"/>
    <w:rsid w:val="00DF3841"/>
    <w:rsid w:val="00E03276"/>
    <w:rsid w:val="00E03A36"/>
    <w:rsid w:val="00E15F4D"/>
    <w:rsid w:val="00E23BB6"/>
    <w:rsid w:val="00E4345C"/>
    <w:rsid w:val="00E53413"/>
    <w:rsid w:val="00E62014"/>
    <w:rsid w:val="00E6334C"/>
    <w:rsid w:val="00E70743"/>
    <w:rsid w:val="00E77830"/>
    <w:rsid w:val="00E87E96"/>
    <w:rsid w:val="00E969E8"/>
    <w:rsid w:val="00EA263F"/>
    <w:rsid w:val="00EA35BF"/>
    <w:rsid w:val="00EC244C"/>
    <w:rsid w:val="00ED052D"/>
    <w:rsid w:val="00EE67AD"/>
    <w:rsid w:val="00EE70A1"/>
    <w:rsid w:val="00EF0CE3"/>
    <w:rsid w:val="00EF6B9F"/>
    <w:rsid w:val="00F06585"/>
    <w:rsid w:val="00F218EB"/>
    <w:rsid w:val="00F25CAB"/>
    <w:rsid w:val="00F334D9"/>
    <w:rsid w:val="00F4162B"/>
    <w:rsid w:val="00F57022"/>
    <w:rsid w:val="00F62E83"/>
    <w:rsid w:val="00F9767F"/>
    <w:rsid w:val="00FA0037"/>
    <w:rsid w:val="00FB1345"/>
    <w:rsid w:val="00FB6673"/>
    <w:rsid w:val="00FD4EE0"/>
    <w:rsid w:val="00FE214F"/>
    <w:rsid w:val="00FE3080"/>
    <w:rsid w:val="00FE3749"/>
    <w:rsid w:val="00FF03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C6510"/>
  <w15:chartTrackingRefBased/>
  <w15:docId w15:val="{18577452-F84A-46F0-B833-8FAC04092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65BBD"/>
    <w:pPr>
      <w:ind w:left="720"/>
      <w:contextualSpacing/>
    </w:pPr>
  </w:style>
  <w:style w:type="paragraph" w:styleId="Textoindependiente">
    <w:name w:val="Body Text"/>
    <w:basedOn w:val="Normal"/>
    <w:link w:val="TextoindependienteCar"/>
    <w:uiPriority w:val="99"/>
    <w:unhideWhenUsed/>
    <w:rsid w:val="00336E81"/>
    <w:pPr>
      <w:spacing w:after="120"/>
    </w:pPr>
  </w:style>
  <w:style w:type="character" w:customStyle="1" w:styleId="TextoindependienteCar">
    <w:name w:val="Texto independiente Car"/>
    <w:basedOn w:val="Fuentedeprrafopredeter"/>
    <w:link w:val="Textoindependiente"/>
    <w:uiPriority w:val="99"/>
    <w:rsid w:val="00336E81"/>
  </w:style>
  <w:style w:type="character" w:styleId="Hipervnculo">
    <w:name w:val="Hyperlink"/>
    <w:basedOn w:val="Fuentedeprrafopredeter"/>
    <w:uiPriority w:val="99"/>
    <w:unhideWhenUsed/>
    <w:rsid w:val="00336E81"/>
    <w:rPr>
      <w:color w:val="0563C1" w:themeColor="hyperlink"/>
      <w:u w:val="single"/>
    </w:rPr>
  </w:style>
  <w:style w:type="character" w:styleId="Mencinsinresolver">
    <w:name w:val="Unresolved Mention"/>
    <w:basedOn w:val="Fuentedeprrafopredeter"/>
    <w:uiPriority w:val="99"/>
    <w:semiHidden/>
    <w:unhideWhenUsed/>
    <w:rsid w:val="00336E81"/>
    <w:rPr>
      <w:color w:val="605E5C"/>
      <w:shd w:val="clear" w:color="auto" w:fill="E1DFDD"/>
    </w:rPr>
  </w:style>
  <w:style w:type="paragraph" w:styleId="Textodeglobo">
    <w:name w:val="Balloon Text"/>
    <w:basedOn w:val="Normal"/>
    <w:link w:val="TextodegloboCar"/>
    <w:uiPriority w:val="99"/>
    <w:semiHidden/>
    <w:unhideWhenUsed/>
    <w:rsid w:val="005C592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C5920"/>
    <w:rPr>
      <w:rFonts w:ascii="Segoe UI" w:hAnsi="Segoe UI" w:cs="Segoe UI"/>
      <w:sz w:val="18"/>
      <w:szCs w:val="18"/>
    </w:rPr>
  </w:style>
  <w:style w:type="paragraph" w:styleId="Textocomentario">
    <w:name w:val="annotation text"/>
    <w:basedOn w:val="Normal"/>
    <w:link w:val="TextocomentarioCar"/>
    <w:uiPriority w:val="99"/>
    <w:unhideWhenUsed/>
    <w:rsid w:val="00E969E8"/>
    <w:pPr>
      <w:spacing w:line="240" w:lineRule="auto"/>
    </w:pPr>
    <w:rPr>
      <w:sz w:val="20"/>
      <w:szCs w:val="20"/>
    </w:rPr>
  </w:style>
  <w:style w:type="character" w:customStyle="1" w:styleId="TextocomentarioCar">
    <w:name w:val="Texto comentario Car"/>
    <w:basedOn w:val="Fuentedeprrafopredeter"/>
    <w:link w:val="Textocomentario"/>
    <w:uiPriority w:val="99"/>
    <w:rsid w:val="00E969E8"/>
    <w:rPr>
      <w:sz w:val="20"/>
      <w:szCs w:val="20"/>
    </w:rPr>
  </w:style>
  <w:style w:type="character" w:styleId="Refdecomentario">
    <w:name w:val="annotation reference"/>
    <w:basedOn w:val="Fuentedeprrafopredeter"/>
    <w:uiPriority w:val="99"/>
    <w:semiHidden/>
    <w:unhideWhenUsed/>
    <w:rsid w:val="00E969E8"/>
    <w:rPr>
      <w:sz w:val="16"/>
      <w:szCs w:val="16"/>
    </w:rPr>
  </w:style>
  <w:style w:type="paragraph" w:styleId="Asuntodelcomentario">
    <w:name w:val="annotation subject"/>
    <w:basedOn w:val="Textocomentario"/>
    <w:next w:val="Textocomentario"/>
    <w:link w:val="AsuntodelcomentarioCar"/>
    <w:uiPriority w:val="99"/>
    <w:semiHidden/>
    <w:unhideWhenUsed/>
    <w:rsid w:val="00A926E3"/>
    <w:rPr>
      <w:b/>
      <w:bCs/>
    </w:rPr>
  </w:style>
  <w:style w:type="character" w:customStyle="1" w:styleId="AsuntodelcomentarioCar">
    <w:name w:val="Asunto del comentario Car"/>
    <w:basedOn w:val="TextocomentarioCar"/>
    <w:link w:val="Asuntodelcomentario"/>
    <w:uiPriority w:val="99"/>
    <w:semiHidden/>
    <w:rsid w:val="00A926E3"/>
    <w:rPr>
      <w:b/>
      <w:bCs/>
      <w:sz w:val="20"/>
      <w:szCs w:val="20"/>
    </w:rPr>
  </w:style>
  <w:style w:type="paragraph" w:customStyle="1" w:styleId="ydpda298ee3yiv8607751865msonormal">
    <w:name w:val="ydpda298ee3yiv8607751865msonormal"/>
    <w:basedOn w:val="Normal"/>
    <w:uiPriority w:val="99"/>
    <w:rsid w:val="00914B68"/>
    <w:pPr>
      <w:spacing w:before="100" w:beforeAutospacing="1" w:after="100" w:afterAutospacing="1" w:line="240" w:lineRule="auto"/>
    </w:pPr>
    <w:rPr>
      <w:rFonts w:ascii="Calibri" w:hAnsi="Calibri" w:cs="Calibri"/>
    </w:rPr>
  </w:style>
  <w:style w:type="paragraph" w:styleId="NormalWeb">
    <w:name w:val="Normal (Web)"/>
    <w:basedOn w:val="Normal"/>
    <w:uiPriority w:val="99"/>
    <w:semiHidden/>
    <w:unhideWhenUsed/>
    <w:rsid w:val="001F1F84"/>
    <w:pPr>
      <w:spacing w:before="100" w:beforeAutospacing="1" w:after="100" w:afterAutospacing="1" w:line="240" w:lineRule="auto"/>
    </w:pPr>
    <w:rPr>
      <w:rFonts w:ascii="Times New Roman" w:eastAsia="Times New Roman" w:hAnsi="Times New Roman" w:cs="Times New Roman"/>
      <w:sz w:val="24"/>
      <w:szCs w:val="24"/>
    </w:rPr>
  </w:style>
  <w:style w:type="paragraph" w:styleId="Revisin">
    <w:name w:val="Revision"/>
    <w:hidden/>
    <w:uiPriority w:val="99"/>
    <w:semiHidden/>
    <w:rsid w:val="003A1DC0"/>
    <w:pPr>
      <w:spacing w:after="0" w:line="240" w:lineRule="auto"/>
    </w:pPr>
  </w:style>
  <w:style w:type="paragraph" w:customStyle="1" w:styleId="Default">
    <w:name w:val="Default"/>
    <w:rsid w:val="00CB1069"/>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195314">
      <w:bodyDiv w:val="1"/>
      <w:marLeft w:val="0"/>
      <w:marRight w:val="0"/>
      <w:marTop w:val="0"/>
      <w:marBottom w:val="0"/>
      <w:divBdr>
        <w:top w:val="none" w:sz="0" w:space="0" w:color="auto"/>
        <w:left w:val="none" w:sz="0" w:space="0" w:color="auto"/>
        <w:bottom w:val="none" w:sz="0" w:space="0" w:color="auto"/>
        <w:right w:val="none" w:sz="0" w:space="0" w:color="auto"/>
      </w:divBdr>
    </w:div>
    <w:div w:id="107773490">
      <w:bodyDiv w:val="1"/>
      <w:marLeft w:val="0"/>
      <w:marRight w:val="0"/>
      <w:marTop w:val="0"/>
      <w:marBottom w:val="0"/>
      <w:divBdr>
        <w:top w:val="none" w:sz="0" w:space="0" w:color="auto"/>
        <w:left w:val="none" w:sz="0" w:space="0" w:color="auto"/>
        <w:bottom w:val="none" w:sz="0" w:space="0" w:color="auto"/>
        <w:right w:val="none" w:sz="0" w:space="0" w:color="auto"/>
      </w:divBdr>
    </w:div>
    <w:div w:id="159933537">
      <w:bodyDiv w:val="1"/>
      <w:marLeft w:val="0"/>
      <w:marRight w:val="0"/>
      <w:marTop w:val="0"/>
      <w:marBottom w:val="0"/>
      <w:divBdr>
        <w:top w:val="none" w:sz="0" w:space="0" w:color="auto"/>
        <w:left w:val="none" w:sz="0" w:space="0" w:color="auto"/>
        <w:bottom w:val="none" w:sz="0" w:space="0" w:color="auto"/>
        <w:right w:val="none" w:sz="0" w:space="0" w:color="auto"/>
      </w:divBdr>
    </w:div>
    <w:div w:id="161169628">
      <w:bodyDiv w:val="1"/>
      <w:marLeft w:val="0"/>
      <w:marRight w:val="0"/>
      <w:marTop w:val="0"/>
      <w:marBottom w:val="0"/>
      <w:divBdr>
        <w:top w:val="none" w:sz="0" w:space="0" w:color="auto"/>
        <w:left w:val="none" w:sz="0" w:space="0" w:color="auto"/>
        <w:bottom w:val="none" w:sz="0" w:space="0" w:color="auto"/>
        <w:right w:val="none" w:sz="0" w:space="0" w:color="auto"/>
      </w:divBdr>
    </w:div>
    <w:div w:id="215361314">
      <w:bodyDiv w:val="1"/>
      <w:marLeft w:val="0"/>
      <w:marRight w:val="0"/>
      <w:marTop w:val="0"/>
      <w:marBottom w:val="0"/>
      <w:divBdr>
        <w:top w:val="none" w:sz="0" w:space="0" w:color="auto"/>
        <w:left w:val="none" w:sz="0" w:space="0" w:color="auto"/>
        <w:bottom w:val="none" w:sz="0" w:space="0" w:color="auto"/>
        <w:right w:val="none" w:sz="0" w:space="0" w:color="auto"/>
      </w:divBdr>
    </w:div>
    <w:div w:id="222764472">
      <w:bodyDiv w:val="1"/>
      <w:marLeft w:val="0"/>
      <w:marRight w:val="0"/>
      <w:marTop w:val="0"/>
      <w:marBottom w:val="0"/>
      <w:divBdr>
        <w:top w:val="none" w:sz="0" w:space="0" w:color="auto"/>
        <w:left w:val="none" w:sz="0" w:space="0" w:color="auto"/>
        <w:bottom w:val="none" w:sz="0" w:space="0" w:color="auto"/>
        <w:right w:val="none" w:sz="0" w:space="0" w:color="auto"/>
      </w:divBdr>
    </w:div>
    <w:div w:id="265814536">
      <w:bodyDiv w:val="1"/>
      <w:marLeft w:val="0"/>
      <w:marRight w:val="0"/>
      <w:marTop w:val="0"/>
      <w:marBottom w:val="0"/>
      <w:divBdr>
        <w:top w:val="none" w:sz="0" w:space="0" w:color="auto"/>
        <w:left w:val="none" w:sz="0" w:space="0" w:color="auto"/>
        <w:bottom w:val="none" w:sz="0" w:space="0" w:color="auto"/>
        <w:right w:val="none" w:sz="0" w:space="0" w:color="auto"/>
      </w:divBdr>
    </w:div>
    <w:div w:id="328290784">
      <w:bodyDiv w:val="1"/>
      <w:marLeft w:val="0"/>
      <w:marRight w:val="0"/>
      <w:marTop w:val="0"/>
      <w:marBottom w:val="0"/>
      <w:divBdr>
        <w:top w:val="none" w:sz="0" w:space="0" w:color="auto"/>
        <w:left w:val="none" w:sz="0" w:space="0" w:color="auto"/>
        <w:bottom w:val="none" w:sz="0" w:space="0" w:color="auto"/>
        <w:right w:val="none" w:sz="0" w:space="0" w:color="auto"/>
      </w:divBdr>
    </w:div>
    <w:div w:id="341786460">
      <w:bodyDiv w:val="1"/>
      <w:marLeft w:val="0"/>
      <w:marRight w:val="0"/>
      <w:marTop w:val="0"/>
      <w:marBottom w:val="0"/>
      <w:divBdr>
        <w:top w:val="none" w:sz="0" w:space="0" w:color="auto"/>
        <w:left w:val="none" w:sz="0" w:space="0" w:color="auto"/>
        <w:bottom w:val="none" w:sz="0" w:space="0" w:color="auto"/>
        <w:right w:val="none" w:sz="0" w:space="0" w:color="auto"/>
      </w:divBdr>
    </w:div>
    <w:div w:id="397631876">
      <w:bodyDiv w:val="1"/>
      <w:marLeft w:val="0"/>
      <w:marRight w:val="0"/>
      <w:marTop w:val="0"/>
      <w:marBottom w:val="0"/>
      <w:divBdr>
        <w:top w:val="none" w:sz="0" w:space="0" w:color="auto"/>
        <w:left w:val="none" w:sz="0" w:space="0" w:color="auto"/>
        <w:bottom w:val="none" w:sz="0" w:space="0" w:color="auto"/>
        <w:right w:val="none" w:sz="0" w:space="0" w:color="auto"/>
      </w:divBdr>
    </w:div>
    <w:div w:id="436951838">
      <w:bodyDiv w:val="1"/>
      <w:marLeft w:val="0"/>
      <w:marRight w:val="0"/>
      <w:marTop w:val="0"/>
      <w:marBottom w:val="0"/>
      <w:divBdr>
        <w:top w:val="none" w:sz="0" w:space="0" w:color="auto"/>
        <w:left w:val="none" w:sz="0" w:space="0" w:color="auto"/>
        <w:bottom w:val="none" w:sz="0" w:space="0" w:color="auto"/>
        <w:right w:val="none" w:sz="0" w:space="0" w:color="auto"/>
      </w:divBdr>
    </w:div>
    <w:div w:id="454059136">
      <w:bodyDiv w:val="1"/>
      <w:marLeft w:val="0"/>
      <w:marRight w:val="0"/>
      <w:marTop w:val="0"/>
      <w:marBottom w:val="0"/>
      <w:divBdr>
        <w:top w:val="none" w:sz="0" w:space="0" w:color="auto"/>
        <w:left w:val="none" w:sz="0" w:space="0" w:color="auto"/>
        <w:bottom w:val="none" w:sz="0" w:space="0" w:color="auto"/>
        <w:right w:val="none" w:sz="0" w:space="0" w:color="auto"/>
      </w:divBdr>
      <w:divsChild>
        <w:div w:id="1199512558">
          <w:marLeft w:val="0"/>
          <w:marRight w:val="0"/>
          <w:marTop w:val="0"/>
          <w:marBottom w:val="0"/>
          <w:divBdr>
            <w:top w:val="none" w:sz="0" w:space="0" w:color="auto"/>
            <w:left w:val="none" w:sz="0" w:space="0" w:color="auto"/>
            <w:bottom w:val="none" w:sz="0" w:space="0" w:color="auto"/>
            <w:right w:val="none" w:sz="0" w:space="0" w:color="auto"/>
          </w:divBdr>
          <w:divsChild>
            <w:div w:id="18468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94654">
      <w:bodyDiv w:val="1"/>
      <w:marLeft w:val="0"/>
      <w:marRight w:val="0"/>
      <w:marTop w:val="0"/>
      <w:marBottom w:val="0"/>
      <w:divBdr>
        <w:top w:val="none" w:sz="0" w:space="0" w:color="auto"/>
        <w:left w:val="none" w:sz="0" w:space="0" w:color="auto"/>
        <w:bottom w:val="none" w:sz="0" w:space="0" w:color="auto"/>
        <w:right w:val="none" w:sz="0" w:space="0" w:color="auto"/>
      </w:divBdr>
    </w:div>
    <w:div w:id="614095196">
      <w:bodyDiv w:val="1"/>
      <w:marLeft w:val="0"/>
      <w:marRight w:val="0"/>
      <w:marTop w:val="0"/>
      <w:marBottom w:val="0"/>
      <w:divBdr>
        <w:top w:val="none" w:sz="0" w:space="0" w:color="auto"/>
        <w:left w:val="none" w:sz="0" w:space="0" w:color="auto"/>
        <w:bottom w:val="none" w:sz="0" w:space="0" w:color="auto"/>
        <w:right w:val="none" w:sz="0" w:space="0" w:color="auto"/>
      </w:divBdr>
    </w:div>
    <w:div w:id="662510293">
      <w:bodyDiv w:val="1"/>
      <w:marLeft w:val="0"/>
      <w:marRight w:val="0"/>
      <w:marTop w:val="0"/>
      <w:marBottom w:val="0"/>
      <w:divBdr>
        <w:top w:val="none" w:sz="0" w:space="0" w:color="auto"/>
        <w:left w:val="none" w:sz="0" w:space="0" w:color="auto"/>
        <w:bottom w:val="none" w:sz="0" w:space="0" w:color="auto"/>
        <w:right w:val="none" w:sz="0" w:space="0" w:color="auto"/>
      </w:divBdr>
    </w:div>
    <w:div w:id="727581480">
      <w:bodyDiv w:val="1"/>
      <w:marLeft w:val="0"/>
      <w:marRight w:val="0"/>
      <w:marTop w:val="0"/>
      <w:marBottom w:val="0"/>
      <w:divBdr>
        <w:top w:val="none" w:sz="0" w:space="0" w:color="auto"/>
        <w:left w:val="none" w:sz="0" w:space="0" w:color="auto"/>
        <w:bottom w:val="none" w:sz="0" w:space="0" w:color="auto"/>
        <w:right w:val="none" w:sz="0" w:space="0" w:color="auto"/>
      </w:divBdr>
    </w:div>
    <w:div w:id="829176277">
      <w:bodyDiv w:val="1"/>
      <w:marLeft w:val="0"/>
      <w:marRight w:val="0"/>
      <w:marTop w:val="0"/>
      <w:marBottom w:val="0"/>
      <w:divBdr>
        <w:top w:val="none" w:sz="0" w:space="0" w:color="auto"/>
        <w:left w:val="none" w:sz="0" w:space="0" w:color="auto"/>
        <w:bottom w:val="none" w:sz="0" w:space="0" w:color="auto"/>
        <w:right w:val="none" w:sz="0" w:space="0" w:color="auto"/>
      </w:divBdr>
    </w:div>
    <w:div w:id="852885818">
      <w:bodyDiv w:val="1"/>
      <w:marLeft w:val="0"/>
      <w:marRight w:val="0"/>
      <w:marTop w:val="0"/>
      <w:marBottom w:val="0"/>
      <w:divBdr>
        <w:top w:val="none" w:sz="0" w:space="0" w:color="auto"/>
        <w:left w:val="none" w:sz="0" w:space="0" w:color="auto"/>
        <w:bottom w:val="none" w:sz="0" w:space="0" w:color="auto"/>
        <w:right w:val="none" w:sz="0" w:space="0" w:color="auto"/>
      </w:divBdr>
    </w:div>
    <w:div w:id="876694950">
      <w:bodyDiv w:val="1"/>
      <w:marLeft w:val="0"/>
      <w:marRight w:val="0"/>
      <w:marTop w:val="0"/>
      <w:marBottom w:val="0"/>
      <w:divBdr>
        <w:top w:val="none" w:sz="0" w:space="0" w:color="auto"/>
        <w:left w:val="none" w:sz="0" w:space="0" w:color="auto"/>
        <w:bottom w:val="none" w:sz="0" w:space="0" w:color="auto"/>
        <w:right w:val="none" w:sz="0" w:space="0" w:color="auto"/>
      </w:divBdr>
    </w:div>
    <w:div w:id="1087650828">
      <w:bodyDiv w:val="1"/>
      <w:marLeft w:val="0"/>
      <w:marRight w:val="0"/>
      <w:marTop w:val="0"/>
      <w:marBottom w:val="0"/>
      <w:divBdr>
        <w:top w:val="none" w:sz="0" w:space="0" w:color="auto"/>
        <w:left w:val="none" w:sz="0" w:space="0" w:color="auto"/>
        <w:bottom w:val="none" w:sz="0" w:space="0" w:color="auto"/>
        <w:right w:val="none" w:sz="0" w:space="0" w:color="auto"/>
      </w:divBdr>
    </w:div>
    <w:div w:id="1175337090">
      <w:bodyDiv w:val="1"/>
      <w:marLeft w:val="0"/>
      <w:marRight w:val="0"/>
      <w:marTop w:val="0"/>
      <w:marBottom w:val="0"/>
      <w:divBdr>
        <w:top w:val="none" w:sz="0" w:space="0" w:color="auto"/>
        <w:left w:val="none" w:sz="0" w:space="0" w:color="auto"/>
        <w:bottom w:val="none" w:sz="0" w:space="0" w:color="auto"/>
        <w:right w:val="none" w:sz="0" w:space="0" w:color="auto"/>
      </w:divBdr>
    </w:div>
    <w:div w:id="1215964283">
      <w:bodyDiv w:val="1"/>
      <w:marLeft w:val="0"/>
      <w:marRight w:val="0"/>
      <w:marTop w:val="0"/>
      <w:marBottom w:val="0"/>
      <w:divBdr>
        <w:top w:val="none" w:sz="0" w:space="0" w:color="auto"/>
        <w:left w:val="none" w:sz="0" w:space="0" w:color="auto"/>
        <w:bottom w:val="none" w:sz="0" w:space="0" w:color="auto"/>
        <w:right w:val="none" w:sz="0" w:space="0" w:color="auto"/>
      </w:divBdr>
    </w:div>
    <w:div w:id="1359307521">
      <w:bodyDiv w:val="1"/>
      <w:marLeft w:val="0"/>
      <w:marRight w:val="0"/>
      <w:marTop w:val="0"/>
      <w:marBottom w:val="0"/>
      <w:divBdr>
        <w:top w:val="none" w:sz="0" w:space="0" w:color="auto"/>
        <w:left w:val="none" w:sz="0" w:space="0" w:color="auto"/>
        <w:bottom w:val="none" w:sz="0" w:space="0" w:color="auto"/>
        <w:right w:val="none" w:sz="0" w:space="0" w:color="auto"/>
      </w:divBdr>
    </w:div>
    <w:div w:id="1450930811">
      <w:bodyDiv w:val="1"/>
      <w:marLeft w:val="0"/>
      <w:marRight w:val="0"/>
      <w:marTop w:val="0"/>
      <w:marBottom w:val="0"/>
      <w:divBdr>
        <w:top w:val="none" w:sz="0" w:space="0" w:color="auto"/>
        <w:left w:val="none" w:sz="0" w:space="0" w:color="auto"/>
        <w:bottom w:val="none" w:sz="0" w:space="0" w:color="auto"/>
        <w:right w:val="none" w:sz="0" w:space="0" w:color="auto"/>
      </w:divBdr>
      <w:divsChild>
        <w:div w:id="555707695">
          <w:marLeft w:val="0"/>
          <w:marRight w:val="0"/>
          <w:marTop w:val="0"/>
          <w:marBottom w:val="0"/>
          <w:divBdr>
            <w:top w:val="none" w:sz="0" w:space="0" w:color="auto"/>
            <w:left w:val="none" w:sz="0" w:space="0" w:color="auto"/>
            <w:bottom w:val="none" w:sz="0" w:space="0" w:color="auto"/>
            <w:right w:val="none" w:sz="0" w:space="0" w:color="auto"/>
          </w:divBdr>
          <w:divsChild>
            <w:div w:id="58669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287533">
      <w:bodyDiv w:val="1"/>
      <w:marLeft w:val="0"/>
      <w:marRight w:val="0"/>
      <w:marTop w:val="0"/>
      <w:marBottom w:val="0"/>
      <w:divBdr>
        <w:top w:val="none" w:sz="0" w:space="0" w:color="auto"/>
        <w:left w:val="none" w:sz="0" w:space="0" w:color="auto"/>
        <w:bottom w:val="none" w:sz="0" w:space="0" w:color="auto"/>
        <w:right w:val="none" w:sz="0" w:space="0" w:color="auto"/>
      </w:divBdr>
      <w:divsChild>
        <w:div w:id="1260747950">
          <w:marLeft w:val="0"/>
          <w:marRight w:val="0"/>
          <w:marTop w:val="0"/>
          <w:marBottom w:val="0"/>
          <w:divBdr>
            <w:top w:val="none" w:sz="0" w:space="0" w:color="auto"/>
            <w:left w:val="none" w:sz="0" w:space="0" w:color="auto"/>
            <w:bottom w:val="none" w:sz="0" w:space="0" w:color="auto"/>
            <w:right w:val="none" w:sz="0" w:space="0" w:color="auto"/>
          </w:divBdr>
          <w:divsChild>
            <w:div w:id="589196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808951">
      <w:bodyDiv w:val="1"/>
      <w:marLeft w:val="0"/>
      <w:marRight w:val="0"/>
      <w:marTop w:val="0"/>
      <w:marBottom w:val="0"/>
      <w:divBdr>
        <w:top w:val="none" w:sz="0" w:space="0" w:color="auto"/>
        <w:left w:val="none" w:sz="0" w:space="0" w:color="auto"/>
        <w:bottom w:val="none" w:sz="0" w:space="0" w:color="auto"/>
        <w:right w:val="none" w:sz="0" w:space="0" w:color="auto"/>
      </w:divBdr>
    </w:div>
    <w:div w:id="1725062248">
      <w:bodyDiv w:val="1"/>
      <w:marLeft w:val="0"/>
      <w:marRight w:val="0"/>
      <w:marTop w:val="0"/>
      <w:marBottom w:val="0"/>
      <w:divBdr>
        <w:top w:val="none" w:sz="0" w:space="0" w:color="auto"/>
        <w:left w:val="none" w:sz="0" w:space="0" w:color="auto"/>
        <w:bottom w:val="none" w:sz="0" w:space="0" w:color="auto"/>
        <w:right w:val="none" w:sz="0" w:space="0" w:color="auto"/>
      </w:divBdr>
    </w:div>
    <w:div w:id="1763181927">
      <w:bodyDiv w:val="1"/>
      <w:marLeft w:val="0"/>
      <w:marRight w:val="0"/>
      <w:marTop w:val="0"/>
      <w:marBottom w:val="0"/>
      <w:divBdr>
        <w:top w:val="none" w:sz="0" w:space="0" w:color="auto"/>
        <w:left w:val="none" w:sz="0" w:space="0" w:color="auto"/>
        <w:bottom w:val="none" w:sz="0" w:space="0" w:color="auto"/>
        <w:right w:val="none" w:sz="0" w:space="0" w:color="auto"/>
      </w:divBdr>
    </w:div>
    <w:div w:id="1877699683">
      <w:bodyDiv w:val="1"/>
      <w:marLeft w:val="0"/>
      <w:marRight w:val="0"/>
      <w:marTop w:val="0"/>
      <w:marBottom w:val="0"/>
      <w:divBdr>
        <w:top w:val="none" w:sz="0" w:space="0" w:color="auto"/>
        <w:left w:val="none" w:sz="0" w:space="0" w:color="auto"/>
        <w:bottom w:val="none" w:sz="0" w:space="0" w:color="auto"/>
        <w:right w:val="none" w:sz="0" w:space="0" w:color="auto"/>
      </w:divBdr>
    </w:div>
    <w:div w:id="1915698856">
      <w:bodyDiv w:val="1"/>
      <w:marLeft w:val="0"/>
      <w:marRight w:val="0"/>
      <w:marTop w:val="0"/>
      <w:marBottom w:val="0"/>
      <w:divBdr>
        <w:top w:val="none" w:sz="0" w:space="0" w:color="auto"/>
        <w:left w:val="none" w:sz="0" w:space="0" w:color="auto"/>
        <w:bottom w:val="none" w:sz="0" w:space="0" w:color="auto"/>
        <w:right w:val="none" w:sz="0" w:space="0" w:color="auto"/>
      </w:divBdr>
    </w:div>
    <w:div w:id="2021617261">
      <w:bodyDiv w:val="1"/>
      <w:marLeft w:val="0"/>
      <w:marRight w:val="0"/>
      <w:marTop w:val="0"/>
      <w:marBottom w:val="0"/>
      <w:divBdr>
        <w:top w:val="none" w:sz="0" w:space="0" w:color="auto"/>
        <w:left w:val="none" w:sz="0" w:space="0" w:color="auto"/>
        <w:bottom w:val="none" w:sz="0" w:space="0" w:color="auto"/>
        <w:right w:val="none" w:sz="0" w:space="0" w:color="auto"/>
      </w:divBdr>
    </w:div>
    <w:div w:id="2030400733">
      <w:bodyDiv w:val="1"/>
      <w:marLeft w:val="0"/>
      <w:marRight w:val="0"/>
      <w:marTop w:val="0"/>
      <w:marBottom w:val="0"/>
      <w:divBdr>
        <w:top w:val="none" w:sz="0" w:space="0" w:color="auto"/>
        <w:left w:val="none" w:sz="0" w:space="0" w:color="auto"/>
        <w:bottom w:val="none" w:sz="0" w:space="0" w:color="auto"/>
        <w:right w:val="none" w:sz="0" w:space="0" w:color="auto"/>
      </w:divBdr>
    </w:div>
    <w:div w:id="2098135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8AAE67-AAD5-4ABB-972E-7A6688B530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Pages>
  <Words>1370</Words>
  <Characters>7540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Studdard</dc:creator>
  <cp:keywords/>
  <dc:description/>
  <cp:lastModifiedBy>maria cristina rico</cp:lastModifiedBy>
  <cp:revision>6</cp:revision>
  <dcterms:created xsi:type="dcterms:W3CDTF">2025-10-13T21:47:00Z</dcterms:created>
  <dcterms:modified xsi:type="dcterms:W3CDTF">2025-12-04T17:31:00Z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2db533cd-013a-4af7-95b2-ab3bc61b6dc0</vt:lpwstr>
  </property>
</Properties>
</file>