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F9CF2" w14:textId="1A41B843" w:rsidR="009622E9" w:rsidRDefault="002604CF" w:rsidP="009622E9">
      <w:pPr>
        <w:rPr>
          <w:rFonts w:ascii="Times New Roman" w:hAnsi="Times New Roman" w:cs="Times New Roman"/>
          <w:sz w:val="24"/>
          <w:szCs w:val="24"/>
        </w:rPr>
      </w:pPr>
      <w:r>
        <w:rPr>
          <w:rFonts w:ascii="Times New Roman" w:hAnsi="Times New Roman"/>
          <w:sz w:val="24"/>
        </w:rPr>
        <w:t>La Junta Estatal de Odontólogos (Junta) propone esta enmienda a la regla 22 TAC §115.4, relativa a la colocación de medicamentos subgingivales específicos para cada zona. La regla propuesta simplemente actualiza el artículo correspondiente del Código de Ocupaciones de Texas relacionado con la práctica de la higiene dental y la capacidad de los higienistas para aplicar medicamentos de forma tópica.</w:t>
      </w:r>
    </w:p>
    <w:p w14:paraId="7AC0AD1A" w14:textId="04949FA6" w:rsidR="002604CF" w:rsidRPr="00757754" w:rsidRDefault="002604CF" w:rsidP="009622E9">
      <w:pPr>
        <w:rPr>
          <w:rFonts w:ascii="Times New Roman" w:hAnsi="Times New Roman" w:cs="Times New Roman"/>
          <w:sz w:val="24"/>
          <w:szCs w:val="24"/>
        </w:rPr>
      </w:pPr>
      <w:r>
        <w:rPr>
          <w:rFonts w:ascii="Times New Roman" w:hAnsi="Times New Roman"/>
          <w:sz w:val="24"/>
        </w:rPr>
        <w:t xml:space="preserve">NOTA FISCAL: Casey Nichols, </w:t>
      </w:r>
      <w:proofErr w:type="gramStart"/>
      <w:r>
        <w:rPr>
          <w:rFonts w:ascii="Times New Roman" w:hAnsi="Times New Roman"/>
          <w:sz w:val="24"/>
        </w:rPr>
        <w:t>Directora Ejecutiva</w:t>
      </w:r>
      <w:proofErr w:type="gramEnd"/>
      <w:r>
        <w:rPr>
          <w:rFonts w:ascii="Times New Roman" w:hAnsi="Times New Roman"/>
          <w:sz w:val="24"/>
        </w:rPr>
        <w:t xml:space="preserve">, ha determinado que en el primer período de cinco años en que esté vigente la regla propuesta, la regla propuesta no tenga implicancias previsibles relativas a costos o rentas de los gobiernos estatal o local. </w:t>
      </w:r>
    </w:p>
    <w:p w14:paraId="4CBDAB64"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NOTA PÚBLICA DE COSTOS Y BENEFICIOS: Casey Nichols también ha determinado que, en el primer período de cinco años en que esté vigente la regla propuesta, el beneficio público anticipado como resultado de esta regla será la protección de la seguridad y el bienestar públicos. </w:t>
      </w:r>
    </w:p>
    <w:p w14:paraId="2364F95D" w14:textId="77777777" w:rsidR="002604CF" w:rsidRPr="00757754" w:rsidRDefault="002604CF" w:rsidP="002604CF">
      <w:pPr>
        <w:spacing w:after="0" w:line="240" w:lineRule="auto"/>
        <w:rPr>
          <w:rFonts w:ascii="Times New Roman" w:hAnsi="Times New Roman" w:cs="Times New Roman"/>
          <w:sz w:val="24"/>
          <w:szCs w:val="24"/>
        </w:rPr>
      </w:pPr>
    </w:p>
    <w:p w14:paraId="73BF3D0C"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EMPLEO LOCAL: Casey Nichols también ha determinado que la regla propuesta no afecta las economías y el empleo locales. </w:t>
      </w:r>
    </w:p>
    <w:p w14:paraId="0A95F484" w14:textId="77777777" w:rsidR="002604CF" w:rsidRPr="00757754" w:rsidRDefault="002604CF" w:rsidP="002604CF">
      <w:pPr>
        <w:spacing w:after="0" w:line="240" w:lineRule="auto"/>
        <w:rPr>
          <w:rFonts w:ascii="Times New Roman" w:hAnsi="Times New Roman" w:cs="Times New Roman"/>
          <w:sz w:val="24"/>
          <w:szCs w:val="24"/>
        </w:rPr>
      </w:pPr>
    </w:p>
    <w:p w14:paraId="35D228DF"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LAS PEQUEÑAS Y MICROEMPRESAS Y LA COMUNIDAD RURAL: Casey Nichols ha determinado que no se requiere una declaración de impacto económico y análisis de flexibilidad normativa para pequeñas empresas, microempresas y comunidades rurales para esta regla propuesta. </w:t>
      </w:r>
    </w:p>
    <w:p w14:paraId="5A76C056" w14:textId="77777777" w:rsidR="002604CF" w:rsidRPr="00757754" w:rsidRDefault="002604CF" w:rsidP="002604CF">
      <w:pPr>
        <w:spacing w:after="0" w:line="240" w:lineRule="auto"/>
        <w:rPr>
          <w:rFonts w:ascii="Times New Roman" w:hAnsi="Times New Roman" w:cs="Times New Roman"/>
          <w:sz w:val="24"/>
          <w:szCs w:val="24"/>
        </w:rPr>
      </w:pPr>
    </w:p>
    <w:p w14:paraId="6D10C40D" w14:textId="445A3A77" w:rsidR="002604CF"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CRECIMIENTO DEL GOBIERNO: La Junta ha determinado que, durante el primer período de cinco años en que esté vigente la regla, se aplicarían los siguientes efectos sobre el crecimiento gubernamental: (1) la regla propuesta no crea ni elimina un programa gubernamental; (2) la aplicación de la regla propuesta no requiere la creación o eliminación de puestos de empleados; (3) la aplicación de la regla propuesta no requiere un aumento o disminución de las apropiaciones futuras; (4) la regla propuesta no requiere un aumento de las tasas pagadas a la agencia; (5) la regla propuesta no crea un nuevo reglamento; (6) la regla propuesta no amplía un reglamento existente; (7) la regla propuesta no aumenta ni disminuye el número de personas sujetas a ella; y (8) la regla propuesta no afecta positiva o negativamente a la economía del estado. </w:t>
      </w:r>
    </w:p>
    <w:p w14:paraId="7DCE5659" w14:textId="77777777" w:rsidR="00352A6B" w:rsidRPr="00757754" w:rsidRDefault="00352A6B" w:rsidP="002604CF">
      <w:pPr>
        <w:spacing w:after="0" w:line="240" w:lineRule="auto"/>
        <w:rPr>
          <w:rFonts w:ascii="Times New Roman" w:hAnsi="Times New Roman" w:cs="Times New Roman"/>
          <w:sz w:val="24"/>
          <w:szCs w:val="24"/>
        </w:rPr>
      </w:pPr>
    </w:p>
    <w:p w14:paraId="373E0D73"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Se pueden enviar comentarios sobre la regla propuesta a Casey Nichols, </w:t>
      </w:r>
      <w:proofErr w:type="gramStart"/>
      <w:r>
        <w:rPr>
          <w:rFonts w:ascii="Times New Roman" w:hAnsi="Times New Roman"/>
          <w:sz w:val="24"/>
        </w:rPr>
        <w:t>Directora Ejecutiva</w:t>
      </w:r>
      <w:proofErr w:type="gramEnd"/>
      <w:r>
        <w:rPr>
          <w:rFonts w:ascii="Times New Roman" w:hAnsi="Times New Roman"/>
          <w:sz w:val="24"/>
        </w:rPr>
        <w:t xml:space="preserve">, a 1801 </w:t>
      </w:r>
      <w:proofErr w:type="spellStart"/>
      <w:r>
        <w:rPr>
          <w:rFonts w:ascii="Times New Roman" w:hAnsi="Times New Roman"/>
          <w:sz w:val="24"/>
        </w:rPr>
        <w:t>Congress</w:t>
      </w:r>
      <w:proofErr w:type="spellEnd"/>
      <w:r>
        <w:rPr>
          <w:rFonts w:ascii="Times New Roman" w:hAnsi="Times New Roman"/>
          <w:sz w:val="24"/>
        </w:rPr>
        <w:t xml:space="preserve"> Avenue, Suite 8.600, Austin, Texas 78701, por fax al (512) 649-2482, o por correo electrónico a official_rules_comments@tsbde.texas.gov durante 30 días luego de la fecha de publicación de la regla propuesta en el </w:t>
      </w:r>
      <w:r>
        <w:rPr>
          <w:rFonts w:ascii="Times New Roman" w:hAnsi="Times New Roman"/>
          <w:i/>
          <w:sz w:val="24"/>
        </w:rPr>
        <w:t>Registro de Texas</w:t>
      </w:r>
      <w:r>
        <w:rPr>
          <w:rFonts w:ascii="Times New Roman" w:hAnsi="Times New Roman"/>
          <w:sz w:val="24"/>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6296CFD0" w14:textId="77777777" w:rsidR="002604CF" w:rsidRPr="00757754" w:rsidRDefault="002604CF" w:rsidP="002604CF">
      <w:pPr>
        <w:spacing w:after="0" w:line="240" w:lineRule="auto"/>
        <w:rPr>
          <w:rFonts w:ascii="Times New Roman" w:hAnsi="Times New Roman" w:cs="Times New Roman"/>
          <w:sz w:val="24"/>
          <w:szCs w:val="24"/>
        </w:rPr>
      </w:pPr>
    </w:p>
    <w:p w14:paraId="7D89B7ED" w14:textId="5C7FA8F6" w:rsidR="002604CF" w:rsidRDefault="002604CF" w:rsidP="00F57022">
      <w:pPr>
        <w:rPr>
          <w:rFonts w:ascii="Times New Roman" w:hAnsi="Times New Roman" w:cs="Times New Roman"/>
          <w:sz w:val="24"/>
          <w:szCs w:val="24"/>
        </w:rPr>
      </w:pPr>
      <w:r>
        <w:rPr>
          <w:rFonts w:ascii="Times New Roman" w:hAnsi="Times New Roman"/>
          <w:sz w:val="24"/>
        </w:rPr>
        <w:t>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2881CF2B" w14:textId="0F065389" w:rsidR="006D4219" w:rsidRPr="00757754" w:rsidRDefault="006D4219" w:rsidP="00F57022">
      <w:pPr>
        <w:rPr>
          <w:rFonts w:ascii="Times New Roman" w:hAnsi="Times New Roman" w:cs="Times New Roman"/>
          <w:sz w:val="24"/>
          <w:szCs w:val="24"/>
        </w:rPr>
      </w:pPr>
      <w:r>
        <w:rPr>
          <w:rFonts w:ascii="Times New Roman" w:hAnsi="Times New Roman"/>
          <w:sz w:val="24"/>
        </w:rPr>
        <w:t xml:space="preserve">Ninguna ley se ve afectada por esta regla propuesta. </w:t>
      </w:r>
    </w:p>
    <w:p w14:paraId="27620599" w14:textId="4D0336C6" w:rsidR="002A42AF" w:rsidRDefault="002604CF" w:rsidP="002604CF">
      <w:pPr>
        <w:spacing w:after="0" w:line="240" w:lineRule="auto"/>
        <w:rPr>
          <w:rFonts w:ascii="Times New Roman" w:hAnsi="Times New Roman" w:cs="Times New Roman"/>
          <w:sz w:val="24"/>
          <w:szCs w:val="24"/>
        </w:rPr>
      </w:pPr>
      <w:r>
        <w:rPr>
          <w:rFonts w:ascii="Times New Roman" w:hAnsi="Times New Roman"/>
          <w:sz w:val="24"/>
        </w:rPr>
        <w:lastRenderedPageBreak/>
        <w:t xml:space="preserve">Los asesores legales de la Junta han revisado la regla propuesta y determinado que su adopción se encuentra dentro de la autoridad de la Junta. </w:t>
      </w:r>
    </w:p>
    <w:p w14:paraId="767D73DA" w14:textId="5481C903" w:rsidR="002604CF" w:rsidRPr="00757754" w:rsidRDefault="002A42AF" w:rsidP="002A42AF">
      <w:pPr>
        <w:rPr>
          <w:rFonts w:ascii="Times New Roman" w:hAnsi="Times New Roman" w:cs="Times New Roman"/>
          <w:sz w:val="24"/>
          <w:szCs w:val="24"/>
        </w:rPr>
      </w:pPr>
      <w:r>
        <w:br w:type="page"/>
      </w:r>
    </w:p>
    <w:p w14:paraId="035143E8" w14:textId="29B7ED6C" w:rsidR="00171F70" w:rsidRDefault="002604CF" w:rsidP="00465BBD">
      <w:pPr>
        <w:spacing w:after="0" w:line="240" w:lineRule="auto"/>
        <w:rPr>
          <w:rFonts w:ascii="Times New Roman" w:eastAsia="Times New Roman" w:hAnsi="Times New Roman" w:cs="Times New Roman"/>
          <w:sz w:val="24"/>
          <w:szCs w:val="24"/>
        </w:rPr>
      </w:pPr>
      <w:r>
        <w:rPr>
          <w:rFonts w:ascii="Times New Roman" w:hAnsi="Times New Roman"/>
          <w:sz w:val="24"/>
        </w:rPr>
        <w:lastRenderedPageBreak/>
        <w:t>&lt;regla&gt;</w:t>
      </w:r>
    </w:p>
    <w:p w14:paraId="101C2094" w14:textId="77777777" w:rsidR="002A42AF" w:rsidRPr="00B357C2" w:rsidRDefault="002A42AF" w:rsidP="00465BBD">
      <w:pPr>
        <w:spacing w:after="0" w:line="240" w:lineRule="auto"/>
        <w:rPr>
          <w:rFonts w:ascii="Times New Roman" w:eastAsia="Times New Roman" w:hAnsi="Times New Roman" w:cs="Times New Roman"/>
          <w:sz w:val="24"/>
          <w:szCs w:val="24"/>
        </w:rPr>
      </w:pPr>
    </w:p>
    <w:p w14:paraId="62D6448B" w14:textId="3FC9471E" w:rsidR="00C96851" w:rsidRDefault="00465BBD" w:rsidP="00465BBD">
      <w:pPr>
        <w:spacing w:after="0" w:line="240" w:lineRule="auto"/>
        <w:rPr>
          <w:rFonts w:ascii="Times New Roman" w:eastAsia="Times New Roman" w:hAnsi="Times New Roman" w:cs="Times New Roman"/>
          <w:sz w:val="24"/>
          <w:szCs w:val="24"/>
        </w:rPr>
      </w:pPr>
      <w:r>
        <w:rPr>
          <w:rFonts w:ascii="Times New Roman" w:hAnsi="Times New Roman"/>
          <w:sz w:val="24"/>
        </w:rPr>
        <w:t xml:space="preserve">§115.4. </w:t>
      </w:r>
      <w:r>
        <w:rPr>
          <w:rFonts w:ascii="Times New Roman" w:hAnsi="Times New Roman"/>
          <w:sz w:val="24"/>
          <w:shd w:val="clear" w:color="auto" w:fill="FFFFFF"/>
        </w:rPr>
        <w:t>Colocación de medicamentos subgingivales específicos para cada zona.</w:t>
      </w:r>
    </w:p>
    <w:p w14:paraId="662B6A95" w14:textId="2AA4B49D" w:rsidR="00F57022" w:rsidRDefault="00F57022" w:rsidP="00465BBD">
      <w:pPr>
        <w:spacing w:after="0" w:line="240" w:lineRule="auto"/>
        <w:rPr>
          <w:rFonts w:ascii="Times New Roman" w:eastAsia="Times New Roman" w:hAnsi="Times New Roman" w:cs="Times New Roman"/>
          <w:sz w:val="24"/>
          <w:szCs w:val="24"/>
        </w:rPr>
      </w:pPr>
    </w:p>
    <w:p w14:paraId="3ED3C74E" w14:textId="26CA82C8" w:rsidR="002B7F37" w:rsidRPr="002B7F37" w:rsidRDefault="002B7F37" w:rsidP="002B7F37">
      <w:pPr>
        <w:rPr>
          <w:rFonts w:ascii="Times New Roman" w:hAnsi="Times New Roman" w:cs="Times New Roman"/>
          <w:sz w:val="24"/>
          <w:szCs w:val="24"/>
        </w:rPr>
      </w:pPr>
      <w:r>
        <w:rPr>
          <w:rFonts w:ascii="Times New Roman" w:hAnsi="Times New Roman"/>
          <w:sz w:val="24"/>
        </w:rPr>
        <w:t>De acuerdo con el Artículo</w:t>
      </w:r>
      <w:r>
        <w:rPr>
          <w:rFonts w:ascii="Times New Roman" w:hAnsi="Times New Roman"/>
          <w:sz w:val="24"/>
          <w:u w:val="single"/>
        </w:rPr>
        <w:t xml:space="preserve"> §262.002(a)(4)</w:t>
      </w:r>
      <w:r>
        <w:rPr>
          <w:rFonts w:ascii="Times New Roman" w:hAnsi="Times New Roman"/>
          <w:sz w:val="24"/>
        </w:rPr>
        <w:t xml:space="preserve"> [</w:t>
      </w:r>
      <w:r>
        <w:rPr>
          <w:rFonts w:ascii="Times New Roman" w:hAnsi="Times New Roman"/>
          <w:strike/>
          <w:sz w:val="24"/>
        </w:rPr>
        <w:t>§262.002(a)(6)</w:t>
      </w:r>
      <w:r>
        <w:rPr>
          <w:rFonts w:ascii="Times New Roman" w:hAnsi="Times New Roman"/>
          <w:sz w:val="24"/>
        </w:rPr>
        <w:t xml:space="preserve">] del </w:t>
      </w:r>
      <w:r>
        <w:rPr>
          <w:rFonts w:ascii="Times New Roman" w:hAnsi="Times New Roman"/>
          <w:sz w:val="24"/>
          <w:u w:val="single"/>
        </w:rPr>
        <w:t>Código de Ocupaciones de Texas</w:t>
      </w:r>
      <w:r>
        <w:rPr>
          <w:rFonts w:ascii="Times New Roman" w:hAnsi="Times New Roman"/>
          <w:sz w:val="24"/>
        </w:rPr>
        <w:t>, la colocación de medicamentos subgingivales específicos para cada zona puede delegarse a un higienista dental con licencia de Texas bajo la supervisión general y en el consultorio de un dentista con licencia de Texas, solo después de realizar un raspado y alisado radicular.</w:t>
      </w:r>
    </w:p>
    <w:p w14:paraId="3F838752" w14:textId="4872A5B7" w:rsidR="002B7F37" w:rsidRPr="002B7F37" w:rsidRDefault="002B7F37" w:rsidP="002B7F37">
      <w:pPr>
        <w:rPr>
          <w:rFonts w:ascii="Times New Roman" w:hAnsi="Times New Roman" w:cs="Times New Roman"/>
          <w:sz w:val="24"/>
          <w:szCs w:val="24"/>
        </w:rPr>
      </w:pPr>
      <w:r>
        <w:rPr>
          <w:rFonts w:ascii="Times New Roman" w:hAnsi="Times New Roman"/>
          <w:sz w:val="24"/>
        </w:rPr>
        <w:t xml:space="preserve">(1) La responsabilidad del diagnóstico, planificación del tratamiento, la prescripción de medidas terapéuticas y la </w:t>
      </w:r>
      <w:r w:rsidR="00AB06F0">
        <w:rPr>
          <w:rFonts w:ascii="Times New Roman" w:hAnsi="Times New Roman"/>
          <w:sz w:val="24"/>
        </w:rPr>
        <w:t>reevaluación</w:t>
      </w:r>
      <w:r>
        <w:rPr>
          <w:rFonts w:ascii="Times New Roman" w:hAnsi="Times New Roman"/>
          <w:sz w:val="24"/>
        </w:rPr>
        <w:t xml:space="preserve"> seguirá siendo del dentista con licencia de Texas y no puede delegarse a ningún higienista ni asistente dental.</w:t>
      </w:r>
    </w:p>
    <w:p w14:paraId="60040CAF" w14:textId="05FCEB2E" w:rsidR="002B7F37" w:rsidRPr="002B7F37" w:rsidRDefault="002B7F37" w:rsidP="002B7F37">
      <w:pPr>
        <w:rPr>
          <w:rFonts w:ascii="Times New Roman" w:hAnsi="Times New Roman" w:cs="Times New Roman"/>
          <w:sz w:val="24"/>
          <w:szCs w:val="24"/>
        </w:rPr>
      </w:pPr>
      <w:r>
        <w:rPr>
          <w:rFonts w:ascii="Times New Roman" w:hAnsi="Times New Roman"/>
          <w:sz w:val="24"/>
        </w:rPr>
        <w:t>(2) Los medicamentos subgingivales específicos para cada zona se consideran de naturaleza “tópica” y agentes aprobados para su uso por la Administración de Alimentos y Medicamentos (FDA).</w:t>
      </w:r>
    </w:p>
    <w:p w14:paraId="1D76F5A6" w14:textId="52D6EEA5" w:rsidR="002B7F37" w:rsidRPr="002B7F37" w:rsidRDefault="002B7F37" w:rsidP="002B7F37">
      <w:pPr>
        <w:rPr>
          <w:rFonts w:ascii="Times New Roman" w:hAnsi="Times New Roman" w:cs="Times New Roman"/>
          <w:sz w:val="24"/>
          <w:szCs w:val="24"/>
        </w:rPr>
      </w:pPr>
      <w:r>
        <w:rPr>
          <w:rFonts w:ascii="Times New Roman" w:hAnsi="Times New Roman"/>
          <w:sz w:val="24"/>
        </w:rPr>
        <w:t>(3) La colocación de los medicamentos subgingivales específicos para cada zona no puede asignarse al asistente dental.</w:t>
      </w:r>
    </w:p>
    <w:p w14:paraId="54FFCE6B" w14:textId="77BAB539" w:rsidR="00AC4132" w:rsidRPr="00B357C2" w:rsidRDefault="002B7F37" w:rsidP="002B7F37">
      <w:pPr>
        <w:rPr>
          <w:rFonts w:ascii="Times New Roman" w:hAnsi="Times New Roman" w:cs="Times New Roman"/>
          <w:sz w:val="24"/>
          <w:szCs w:val="24"/>
        </w:rPr>
      </w:pPr>
      <w:r>
        <w:rPr>
          <w:rFonts w:ascii="Times New Roman" w:hAnsi="Times New Roman"/>
          <w:sz w:val="24"/>
        </w:rPr>
        <w:t>(4) El dentista con licencia en Texas será responsable de identificar, seleccionar y obtener la formación que, en opinión fundamentada del odontólogo, permita al odontólogo y al higienista dental alcanzar la competencia clínica antes de delegar la aplicación de medicamentos subgingivales específicos para cada zona a un higienista dental.</w:t>
      </w:r>
    </w:p>
    <w:sectPr w:rsidR="00AC4132" w:rsidRPr="00B35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8794933">
    <w:abstractNumId w:val="2"/>
  </w:num>
  <w:num w:numId="2" w16cid:durableId="1612667654">
    <w:abstractNumId w:val="5"/>
  </w:num>
  <w:num w:numId="3" w16cid:durableId="1437410697">
    <w:abstractNumId w:val="1"/>
  </w:num>
  <w:num w:numId="4" w16cid:durableId="2030374604">
    <w:abstractNumId w:val="3"/>
  </w:num>
  <w:num w:numId="5" w16cid:durableId="202062704">
    <w:abstractNumId w:val="4"/>
  </w:num>
  <w:num w:numId="6" w16cid:durableId="3435547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62A7"/>
    <w:rsid w:val="00026B91"/>
    <w:rsid w:val="000322BD"/>
    <w:rsid w:val="00033CF5"/>
    <w:rsid w:val="00044D21"/>
    <w:rsid w:val="00054B7F"/>
    <w:rsid w:val="0005764D"/>
    <w:rsid w:val="00063A73"/>
    <w:rsid w:val="00076D07"/>
    <w:rsid w:val="000878F1"/>
    <w:rsid w:val="000A0599"/>
    <w:rsid w:val="000A1C7D"/>
    <w:rsid w:val="000A32EC"/>
    <w:rsid w:val="000A39F2"/>
    <w:rsid w:val="000B274D"/>
    <w:rsid w:val="000B5325"/>
    <w:rsid w:val="000C5F08"/>
    <w:rsid w:val="000E42B7"/>
    <w:rsid w:val="000E7DF5"/>
    <w:rsid w:val="000F22DB"/>
    <w:rsid w:val="000F3007"/>
    <w:rsid w:val="00104706"/>
    <w:rsid w:val="00147C5A"/>
    <w:rsid w:val="00152CEF"/>
    <w:rsid w:val="001566E2"/>
    <w:rsid w:val="0016410C"/>
    <w:rsid w:val="00170261"/>
    <w:rsid w:val="00171F70"/>
    <w:rsid w:val="001756AF"/>
    <w:rsid w:val="00186156"/>
    <w:rsid w:val="00197AF8"/>
    <w:rsid w:val="001A0A1E"/>
    <w:rsid w:val="001A28C3"/>
    <w:rsid w:val="001B1402"/>
    <w:rsid w:val="001C2097"/>
    <w:rsid w:val="001C40E8"/>
    <w:rsid w:val="001C74D1"/>
    <w:rsid w:val="001D3125"/>
    <w:rsid w:val="001F01F6"/>
    <w:rsid w:val="001F1F84"/>
    <w:rsid w:val="00200BD6"/>
    <w:rsid w:val="00202077"/>
    <w:rsid w:val="00216CA1"/>
    <w:rsid w:val="002252B0"/>
    <w:rsid w:val="00230669"/>
    <w:rsid w:val="002553FF"/>
    <w:rsid w:val="002604CF"/>
    <w:rsid w:val="002641FC"/>
    <w:rsid w:val="002648F2"/>
    <w:rsid w:val="00274417"/>
    <w:rsid w:val="0028586D"/>
    <w:rsid w:val="00291A81"/>
    <w:rsid w:val="00292D96"/>
    <w:rsid w:val="002A42AF"/>
    <w:rsid w:val="002A5516"/>
    <w:rsid w:val="002A7368"/>
    <w:rsid w:val="002B2D03"/>
    <w:rsid w:val="002B56EF"/>
    <w:rsid w:val="002B7F37"/>
    <w:rsid w:val="002C0441"/>
    <w:rsid w:val="002C5DD1"/>
    <w:rsid w:val="002E1F0B"/>
    <w:rsid w:val="002E3B47"/>
    <w:rsid w:val="002E6473"/>
    <w:rsid w:val="002F2DC2"/>
    <w:rsid w:val="00306674"/>
    <w:rsid w:val="0030725D"/>
    <w:rsid w:val="00310B3D"/>
    <w:rsid w:val="00311937"/>
    <w:rsid w:val="003122D4"/>
    <w:rsid w:val="00313E39"/>
    <w:rsid w:val="003253F2"/>
    <w:rsid w:val="00330211"/>
    <w:rsid w:val="00335CAF"/>
    <w:rsid w:val="00336E81"/>
    <w:rsid w:val="00343EBA"/>
    <w:rsid w:val="00352A6B"/>
    <w:rsid w:val="003574B2"/>
    <w:rsid w:val="0036237B"/>
    <w:rsid w:val="0037047E"/>
    <w:rsid w:val="00380CE5"/>
    <w:rsid w:val="00386F51"/>
    <w:rsid w:val="003A1DC0"/>
    <w:rsid w:val="003A259D"/>
    <w:rsid w:val="003A6689"/>
    <w:rsid w:val="003A7EEA"/>
    <w:rsid w:val="003C4979"/>
    <w:rsid w:val="003C7A4C"/>
    <w:rsid w:val="003E109C"/>
    <w:rsid w:val="003E2C59"/>
    <w:rsid w:val="003E5C9D"/>
    <w:rsid w:val="003F0121"/>
    <w:rsid w:val="00403D6C"/>
    <w:rsid w:val="004111C7"/>
    <w:rsid w:val="0041347F"/>
    <w:rsid w:val="00416E66"/>
    <w:rsid w:val="004171B1"/>
    <w:rsid w:val="004254CA"/>
    <w:rsid w:val="004454E9"/>
    <w:rsid w:val="004655DE"/>
    <w:rsid w:val="00465BBD"/>
    <w:rsid w:val="0047583E"/>
    <w:rsid w:val="00476A97"/>
    <w:rsid w:val="00490983"/>
    <w:rsid w:val="004A0142"/>
    <w:rsid w:val="004C180D"/>
    <w:rsid w:val="004E35FE"/>
    <w:rsid w:val="004E5C87"/>
    <w:rsid w:val="005223AC"/>
    <w:rsid w:val="0052741D"/>
    <w:rsid w:val="005278E7"/>
    <w:rsid w:val="00527CEE"/>
    <w:rsid w:val="00531962"/>
    <w:rsid w:val="00531DD4"/>
    <w:rsid w:val="00536B7E"/>
    <w:rsid w:val="005576F5"/>
    <w:rsid w:val="00561AD2"/>
    <w:rsid w:val="00567836"/>
    <w:rsid w:val="00571C31"/>
    <w:rsid w:val="00575A8A"/>
    <w:rsid w:val="00583FD3"/>
    <w:rsid w:val="00594F2B"/>
    <w:rsid w:val="005A10A7"/>
    <w:rsid w:val="005A3911"/>
    <w:rsid w:val="005B7AB8"/>
    <w:rsid w:val="005C35A4"/>
    <w:rsid w:val="005C5920"/>
    <w:rsid w:val="005E1C28"/>
    <w:rsid w:val="005E1FAB"/>
    <w:rsid w:val="005E5973"/>
    <w:rsid w:val="005F1CE3"/>
    <w:rsid w:val="006149EB"/>
    <w:rsid w:val="006321BD"/>
    <w:rsid w:val="00634379"/>
    <w:rsid w:val="00634CFD"/>
    <w:rsid w:val="0063536D"/>
    <w:rsid w:val="00636A90"/>
    <w:rsid w:val="006377D8"/>
    <w:rsid w:val="0064197C"/>
    <w:rsid w:val="00643D5F"/>
    <w:rsid w:val="00666027"/>
    <w:rsid w:val="006700BE"/>
    <w:rsid w:val="00675328"/>
    <w:rsid w:val="00687ADA"/>
    <w:rsid w:val="00697BE7"/>
    <w:rsid w:val="006B273B"/>
    <w:rsid w:val="006B5603"/>
    <w:rsid w:val="006C76DD"/>
    <w:rsid w:val="006D0841"/>
    <w:rsid w:val="006D2F1E"/>
    <w:rsid w:val="006D4219"/>
    <w:rsid w:val="006D45C6"/>
    <w:rsid w:val="006E21E7"/>
    <w:rsid w:val="006E54AD"/>
    <w:rsid w:val="006F2A4C"/>
    <w:rsid w:val="00704AA5"/>
    <w:rsid w:val="00715C72"/>
    <w:rsid w:val="00725748"/>
    <w:rsid w:val="00725C59"/>
    <w:rsid w:val="00726D52"/>
    <w:rsid w:val="00727BE3"/>
    <w:rsid w:val="00741B01"/>
    <w:rsid w:val="00750185"/>
    <w:rsid w:val="00750F9D"/>
    <w:rsid w:val="00752B19"/>
    <w:rsid w:val="00762C16"/>
    <w:rsid w:val="00765F24"/>
    <w:rsid w:val="00767379"/>
    <w:rsid w:val="00771267"/>
    <w:rsid w:val="007916EA"/>
    <w:rsid w:val="007924F4"/>
    <w:rsid w:val="007B1764"/>
    <w:rsid w:val="007B417D"/>
    <w:rsid w:val="007B4E8C"/>
    <w:rsid w:val="007C1BE2"/>
    <w:rsid w:val="007C3248"/>
    <w:rsid w:val="007C5EE2"/>
    <w:rsid w:val="007C62E5"/>
    <w:rsid w:val="007D29E5"/>
    <w:rsid w:val="007D4D90"/>
    <w:rsid w:val="007D5B91"/>
    <w:rsid w:val="007D7714"/>
    <w:rsid w:val="007F0D84"/>
    <w:rsid w:val="007F1207"/>
    <w:rsid w:val="007F34E2"/>
    <w:rsid w:val="00804D11"/>
    <w:rsid w:val="008126A1"/>
    <w:rsid w:val="00831E35"/>
    <w:rsid w:val="00833BB0"/>
    <w:rsid w:val="00836A52"/>
    <w:rsid w:val="00837590"/>
    <w:rsid w:val="00840F41"/>
    <w:rsid w:val="00852781"/>
    <w:rsid w:val="00881B30"/>
    <w:rsid w:val="00883AE3"/>
    <w:rsid w:val="00893647"/>
    <w:rsid w:val="008A5A5E"/>
    <w:rsid w:val="008A743C"/>
    <w:rsid w:val="008B33C9"/>
    <w:rsid w:val="008B6299"/>
    <w:rsid w:val="008D01E7"/>
    <w:rsid w:val="008D6B97"/>
    <w:rsid w:val="008F1CCC"/>
    <w:rsid w:val="008F282B"/>
    <w:rsid w:val="00912B71"/>
    <w:rsid w:val="0091317E"/>
    <w:rsid w:val="00914B68"/>
    <w:rsid w:val="009247D3"/>
    <w:rsid w:val="00945870"/>
    <w:rsid w:val="00951A62"/>
    <w:rsid w:val="009570B0"/>
    <w:rsid w:val="009622E9"/>
    <w:rsid w:val="00974818"/>
    <w:rsid w:val="00991BFD"/>
    <w:rsid w:val="00992FF6"/>
    <w:rsid w:val="009A05FE"/>
    <w:rsid w:val="009B07BD"/>
    <w:rsid w:val="009B0E4E"/>
    <w:rsid w:val="009B4063"/>
    <w:rsid w:val="009B60AA"/>
    <w:rsid w:val="009B60EA"/>
    <w:rsid w:val="009C66C4"/>
    <w:rsid w:val="009D0E77"/>
    <w:rsid w:val="009E0989"/>
    <w:rsid w:val="009E6B31"/>
    <w:rsid w:val="009F4198"/>
    <w:rsid w:val="00A0308B"/>
    <w:rsid w:val="00A07096"/>
    <w:rsid w:val="00A15C28"/>
    <w:rsid w:val="00A15CEF"/>
    <w:rsid w:val="00A21984"/>
    <w:rsid w:val="00A30FF3"/>
    <w:rsid w:val="00A37891"/>
    <w:rsid w:val="00A45E82"/>
    <w:rsid w:val="00A5420A"/>
    <w:rsid w:val="00A56300"/>
    <w:rsid w:val="00A57ABD"/>
    <w:rsid w:val="00A6376E"/>
    <w:rsid w:val="00A722CF"/>
    <w:rsid w:val="00A85AA1"/>
    <w:rsid w:val="00A926E3"/>
    <w:rsid w:val="00A972C7"/>
    <w:rsid w:val="00AA3F0D"/>
    <w:rsid w:val="00AB06F0"/>
    <w:rsid w:val="00AB67CD"/>
    <w:rsid w:val="00AC4132"/>
    <w:rsid w:val="00AC5B45"/>
    <w:rsid w:val="00AE03D3"/>
    <w:rsid w:val="00AE2A72"/>
    <w:rsid w:val="00AE6C18"/>
    <w:rsid w:val="00AE7799"/>
    <w:rsid w:val="00AF538A"/>
    <w:rsid w:val="00B02EF7"/>
    <w:rsid w:val="00B1396B"/>
    <w:rsid w:val="00B22141"/>
    <w:rsid w:val="00B230E5"/>
    <w:rsid w:val="00B330BA"/>
    <w:rsid w:val="00B357C2"/>
    <w:rsid w:val="00B3790C"/>
    <w:rsid w:val="00B708FB"/>
    <w:rsid w:val="00B70F15"/>
    <w:rsid w:val="00B84053"/>
    <w:rsid w:val="00B95EF2"/>
    <w:rsid w:val="00BA5F83"/>
    <w:rsid w:val="00BB6A66"/>
    <w:rsid w:val="00BC0AF4"/>
    <w:rsid w:val="00BC3F78"/>
    <w:rsid w:val="00BD5C88"/>
    <w:rsid w:val="00BE4186"/>
    <w:rsid w:val="00BE544F"/>
    <w:rsid w:val="00BE59CB"/>
    <w:rsid w:val="00BE5C00"/>
    <w:rsid w:val="00C20ABF"/>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44B"/>
    <w:rsid w:val="00CA454D"/>
    <w:rsid w:val="00CB1069"/>
    <w:rsid w:val="00CC33AC"/>
    <w:rsid w:val="00CD384E"/>
    <w:rsid w:val="00CE11EE"/>
    <w:rsid w:val="00CF187D"/>
    <w:rsid w:val="00CF1F70"/>
    <w:rsid w:val="00CF48B1"/>
    <w:rsid w:val="00D07113"/>
    <w:rsid w:val="00D12C28"/>
    <w:rsid w:val="00D17F3C"/>
    <w:rsid w:val="00D41505"/>
    <w:rsid w:val="00D9062B"/>
    <w:rsid w:val="00DA1A86"/>
    <w:rsid w:val="00DA633D"/>
    <w:rsid w:val="00DA7638"/>
    <w:rsid w:val="00DC54CE"/>
    <w:rsid w:val="00DD0FCE"/>
    <w:rsid w:val="00DD669C"/>
    <w:rsid w:val="00DF3841"/>
    <w:rsid w:val="00E03276"/>
    <w:rsid w:val="00E03A36"/>
    <w:rsid w:val="00E15F4D"/>
    <w:rsid w:val="00E23BB6"/>
    <w:rsid w:val="00E4345C"/>
    <w:rsid w:val="00E53413"/>
    <w:rsid w:val="00E62014"/>
    <w:rsid w:val="00E6334C"/>
    <w:rsid w:val="00E70743"/>
    <w:rsid w:val="00E77830"/>
    <w:rsid w:val="00E87E96"/>
    <w:rsid w:val="00E969E8"/>
    <w:rsid w:val="00EA263F"/>
    <w:rsid w:val="00EA35BF"/>
    <w:rsid w:val="00EC244C"/>
    <w:rsid w:val="00ED052D"/>
    <w:rsid w:val="00EE67AD"/>
    <w:rsid w:val="00EE70A1"/>
    <w:rsid w:val="00EF0CE3"/>
    <w:rsid w:val="00EF6B9F"/>
    <w:rsid w:val="00F06585"/>
    <w:rsid w:val="00F218EB"/>
    <w:rsid w:val="00F25CAB"/>
    <w:rsid w:val="00F334D9"/>
    <w:rsid w:val="00F4162B"/>
    <w:rsid w:val="00F57022"/>
    <w:rsid w:val="00F62E83"/>
    <w:rsid w:val="00F9767F"/>
    <w:rsid w:val="00FA0037"/>
    <w:rsid w:val="00FB1345"/>
    <w:rsid w:val="00FB6673"/>
    <w:rsid w:val="00FD4EE0"/>
    <w:rsid w:val="00FE214F"/>
    <w:rsid w:val="00FE3080"/>
    <w:rsid w:val="00FE3749"/>
    <w:rsid w:val="00FF0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65BBD"/>
    <w:pPr>
      <w:ind w:left="720"/>
      <w:contextualSpacing/>
    </w:pPr>
  </w:style>
  <w:style w:type="paragraph" w:styleId="Textoindependiente">
    <w:name w:val="Body Text"/>
    <w:basedOn w:val="Normal"/>
    <w:link w:val="TextoindependienteCar"/>
    <w:uiPriority w:val="99"/>
    <w:unhideWhenUsed/>
    <w:rsid w:val="00336E81"/>
    <w:pPr>
      <w:spacing w:after="120"/>
    </w:pPr>
  </w:style>
  <w:style w:type="character" w:customStyle="1" w:styleId="TextoindependienteCar">
    <w:name w:val="Texto independiente Car"/>
    <w:basedOn w:val="Fuentedeprrafopredeter"/>
    <w:link w:val="Textoindependiente"/>
    <w:uiPriority w:val="99"/>
    <w:rsid w:val="00336E81"/>
  </w:style>
  <w:style w:type="character" w:styleId="Hipervnculo">
    <w:name w:val="Hyperlink"/>
    <w:basedOn w:val="Fuentedeprrafopredeter"/>
    <w:uiPriority w:val="99"/>
    <w:unhideWhenUsed/>
    <w:rsid w:val="00336E81"/>
    <w:rPr>
      <w:color w:val="0563C1" w:themeColor="hyperlink"/>
      <w:u w:val="single"/>
    </w:rPr>
  </w:style>
  <w:style w:type="character" w:styleId="Mencinsinresolver">
    <w:name w:val="Unresolved Mention"/>
    <w:basedOn w:val="Fuentedeprrafopredeter"/>
    <w:uiPriority w:val="99"/>
    <w:semiHidden/>
    <w:unhideWhenUsed/>
    <w:rsid w:val="00336E81"/>
    <w:rPr>
      <w:color w:val="605E5C"/>
      <w:shd w:val="clear" w:color="auto" w:fill="E1DFDD"/>
    </w:rPr>
  </w:style>
  <w:style w:type="paragraph" w:styleId="Textodeglobo">
    <w:name w:val="Balloon Text"/>
    <w:basedOn w:val="Normal"/>
    <w:link w:val="TextodegloboCar"/>
    <w:uiPriority w:val="99"/>
    <w:semiHidden/>
    <w:unhideWhenUsed/>
    <w:rsid w:val="005C59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C5920"/>
    <w:rPr>
      <w:rFonts w:ascii="Segoe UI" w:hAnsi="Segoe UI" w:cs="Segoe UI"/>
      <w:sz w:val="18"/>
      <w:szCs w:val="18"/>
    </w:rPr>
  </w:style>
  <w:style w:type="paragraph" w:styleId="Textocomentario">
    <w:name w:val="annotation text"/>
    <w:basedOn w:val="Normal"/>
    <w:link w:val="TextocomentarioCar"/>
    <w:uiPriority w:val="99"/>
    <w:unhideWhenUsed/>
    <w:rsid w:val="00E969E8"/>
    <w:pPr>
      <w:spacing w:line="240" w:lineRule="auto"/>
    </w:pPr>
    <w:rPr>
      <w:sz w:val="20"/>
      <w:szCs w:val="20"/>
    </w:rPr>
  </w:style>
  <w:style w:type="character" w:customStyle="1" w:styleId="TextocomentarioCar">
    <w:name w:val="Texto comentario Car"/>
    <w:basedOn w:val="Fuentedeprrafopredeter"/>
    <w:link w:val="Textocomentario"/>
    <w:uiPriority w:val="99"/>
    <w:rsid w:val="00E969E8"/>
    <w:rPr>
      <w:sz w:val="20"/>
      <w:szCs w:val="20"/>
    </w:rPr>
  </w:style>
  <w:style w:type="character" w:styleId="Refdecomentario">
    <w:name w:val="annotation reference"/>
    <w:basedOn w:val="Fuentedeprrafopredeter"/>
    <w:uiPriority w:val="99"/>
    <w:semiHidden/>
    <w:unhideWhenUsed/>
    <w:rsid w:val="00E969E8"/>
    <w:rPr>
      <w:sz w:val="16"/>
      <w:szCs w:val="16"/>
    </w:rPr>
  </w:style>
  <w:style w:type="paragraph" w:styleId="Asuntodelcomentario">
    <w:name w:val="annotation subject"/>
    <w:basedOn w:val="Textocomentario"/>
    <w:next w:val="Textocomentario"/>
    <w:link w:val="AsuntodelcomentarioCar"/>
    <w:uiPriority w:val="99"/>
    <w:semiHidden/>
    <w:unhideWhenUsed/>
    <w:rsid w:val="00A926E3"/>
    <w:rPr>
      <w:b/>
      <w:bCs/>
    </w:rPr>
  </w:style>
  <w:style w:type="character" w:customStyle="1" w:styleId="AsuntodelcomentarioCar">
    <w:name w:val="Asunto del comentario Car"/>
    <w:basedOn w:val="TextocomentarioCar"/>
    <w:link w:val="Asuntodelcomentario"/>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59933537">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087650828">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30400733">
      <w:bodyDiv w:val="1"/>
      <w:marLeft w:val="0"/>
      <w:marRight w:val="0"/>
      <w:marTop w:val="0"/>
      <w:marBottom w:val="0"/>
      <w:divBdr>
        <w:top w:val="none" w:sz="0" w:space="0" w:color="auto"/>
        <w:left w:val="none" w:sz="0" w:space="0" w:color="auto"/>
        <w:bottom w:val="none" w:sz="0" w:space="0" w:color="auto"/>
        <w:right w:val="none" w:sz="0" w:space="0" w:color="auto"/>
      </w:divBdr>
    </w:div>
    <w:div w:id="2045251698">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D7F140-96A1-400F-8DB5-97DAE58BB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3</Pages>
  <Words>734</Words>
  <Characters>4039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maria cristina rico</cp:lastModifiedBy>
  <cp:revision>10</cp:revision>
  <dcterms:created xsi:type="dcterms:W3CDTF">2025-07-14T15:24:00Z</dcterms:created>
  <dcterms:modified xsi:type="dcterms:W3CDTF">2025-12-04T17:41:00Z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cb6de873-f10e-4dd8-b6a0-c79cc31cf42a</vt:lpwstr>
  </property>
</Properties>
</file>