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CB1EA" w14:textId="5CCF8378" w:rsidR="00D61C66" w:rsidRPr="00D61C66" w:rsidRDefault="00D61C66" w:rsidP="00D61C66">
      <w:pPr>
        <w:rPr>
          <w:sz w:val="22"/>
          <w:szCs w:val="22"/>
        </w:rPr>
      </w:pPr>
      <w:r>
        <w:rPr>
          <w:sz w:val="22"/>
          <w:szCs w:val="22"/>
        </w:rPr>
        <w:t>January 6</w:t>
      </w:r>
      <w:r w:rsidRPr="00D61C66">
        <w:rPr>
          <w:sz w:val="22"/>
          <w:szCs w:val="22"/>
        </w:rPr>
        <w:t>, 202</w:t>
      </w:r>
      <w:r>
        <w:rPr>
          <w:sz w:val="22"/>
          <w:szCs w:val="22"/>
        </w:rPr>
        <w:t>5</w:t>
      </w:r>
    </w:p>
    <w:p w14:paraId="20725264" w14:textId="77777777" w:rsidR="00D61C66" w:rsidRDefault="00D61C66" w:rsidP="00D61C66">
      <w:pPr>
        <w:rPr>
          <w:sz w:val="22"/>
          <w:szCs w:val="22"/>
        </w:rPr>
      </w:pPr>
    </w:p>
    <w:p w14:paraId="33D25452" w14:textId="4B373829" w:rsidR="00D61C66" w:rsidRPr="00D61C66" w:rsidRDefault="00D61C66" w:rsidP="00D61C66">
      <w:pPr>
        <w:rPr>
          <w:sz w:val="22"/>
          <w:szCs w:val="22"/>
        </w:rPr>
      </w:pPr>
      <w:r w:rsidRPr="00D61C66">
        <w:rPr>
          <w:sz w:val="22"/>
          <w:szCs w:val="22"/>
        </w:rPr>
        <w:t>Ms. Casey Nichols</w:t>
      </w:r>
      <w:r w:rsidRPr="00D61C66">
        <w:rPr>
          <w:sz w:val="22"/>
          <w:szCs w:val="22"/>
        </w:rPr>
        <w:br/>
        <w:t>Executive Director</w:t>
      </w:r>
      <w:r w:rsidRPr="00D61C66">
        <w:rPr>
          <w:sz w:val="22"/>
          <w:szCs w:val="22"/>
        </w:rPr>
        <w:br/>
        <w:t>Texas State Board of Dental Examiners</w:t>
      </w:r>
      <w:r w:rsidRPr="00D61C66">
        <w:rPr>
          <w:sz w:val="22"/>
          <w:szCs w:val="22"/>
        </w:rPr>
        <w:br/>
        <w:t>1801 Congress, Suite 8.600</w:t>
      </w:r>
      <w:r w:rsidRPr="00D61C66">
        <w:rPr>
          <w:sz w:val="22"/>
          <w:szCs w:val="22"/>
        </w:rPr>
        <w:br/>
        <w:t>Austin, TX 78701</w:t>
      </w:r>
    </w:p>
    <w:p w14:paraId="0C5C90C9" w14:textId="77777777" w:rsidR="00D61C66" w:rsidRDefault="00D61C66" w:rsidP="00D61C66">
      <w:pPr>
        <w:rPr>
          <w:sz w:val="22"/>
          <w:szCs w:val="22"/>
        </w:rPr>
      </w:pPr>
    </w:p>
    <w:p w14:paraId="26F9A05D" w14:textId="5D39C58D" w:rsidR="00D61C66" w:rsidRPr="00D61C66" w:rsidRDefault="00D61C66" w:rsidP="00D61C66">
      <w:pPr>
        <w:rPr>
          <w:sz w:val="22"/>
          <w:szCs w:val="22"/>
        </w:rPr>
      </w:pPr>
      <w:r w:rsidRPr="00D61C66">
        <w:rPr>
          <w:sz w:val="22"/>
          <w:szCs w:val="22"/>
        </w:rPr>
        <w:t>Dear Ms. Nichols:</w:t>
      </w:r>
    </w:p>
    <w:p w14:paraId="03831589" w14:textId="77777777" w:rsidR="00D61C66" w:rsidRDefault="00D61C66" w:rsidP="00D61C66">
      <w:pPr>
        <w:rPr>
          <w:sz w:val="22"/>
          <w:szCs w:val="22"/>
        </w:rPr>
      </w:pPr>
    </w:p>
    <w:p w14:paraId="5189C9B4" w14:textId="6B4CFC97" w:rsidR="00D61C66" w:rsidRPr="00D61C66" w:rsidRDefault="00D61C66" w:rsidP="00D61C66">
      <w:pPr>
        <w:rPr>
          <w:sz w:val="22"/>
          <w:szCs w:val="22"/>
        </w:rPr>
      </w:pPr>
      <w:r w:rsidRPr="00D61C66">
        <w:rPr>
          <w:sz w:val="22"/>
          <w:szCs w:val="22"/>
        </w:rPr>
        <w:t xml:space="preserve">On behalf of the Texas Academy of General Dentistry (Texas AGD), I am writing to provide comments on several rules published in the December 6, 2024, edition of the </w:t>
      </w:r>
      <w:r w:rsidRPr="00D61C66">
        <w:rPr>
          <w:i/>
          <w:iCs/>
          <w:sz w:val="22"/>
          <w:szCs w:val="22"/>
        </w:rPr>
        <w:t>Texas Register</w:t>
      </w:r>
      <w:r w:rsidRPr="00D61C66">
        <w:rPr>
          <w:sz w:val="22"/>
          <w:szCs w:val="22"/>
        </w:rPr>
        <w:t>.</w:t>
      </w:r>
    </w:p>
    <w:p w14:paraId="16ECFEDB" w14:textId="77777777" w:rsidR="00D61C66" w:rsidRDefault="00D61C66" w:rsidP="00D61C66">
      <w:pPr>
        <w:rPr>
          <w:b/>
          <w:bCs/>
          <w:sz w:val="22"/>
          <w:szCs w:val="22"/>
        </w:rPr>
      </w:pPr>
    </w:p>
    <w:p w14:paraId="19CBE614" w14:textId="39920DA4" w:rsidR="00D61C66" w:rsidRPr="00CB274F" w:rsidRDefault="00CB274F" w:rsidP="00CB274F">
      <w:pPr>
        <w:pStyle w:val="ListParagraph"/>
        <w:numPr>
          <w:ilvl w:val="0"/>
          <w:numId w:val="16"/>
        </w:numPr>
        <w:rPr>
          <w:sz w:val="22"/>
          <w:szCs w:val="22"/>
        </w:rPr>
      </w:pPr>
      <w:r w:rsidRPr="00CB274F">
        <w:rPr>
          <w:b/>
          <w:bCs/>
          <w:sz w:val="22"/>
          <w:szCs w:val="22"/>
        </w:rPr>
        <w:t xml:space="preserve">Lead Aprons and Thyroid Collars: </w:t>
      </w:r>
      <w:r w:rsidR="00D61C66" w:rsidRPr="00CB274F">
        <w:rPr>
          <w:sz w:val="22"/>
          <w:szCs w:val="22"/>
        </w:rPr>
        <w:t>Texas AGD supports the repeal of 22 TAC §113.2(c), which requires the use of lead aprons and thyroid collars in dental offices, and 22 TAC §108.42(c)(6)(D), which mandates that mobile dental facilities or portable dental units use lead aprons with thyroid shields when x-rays are taken.</w:t>
      </w:r>
    </w:p>
    <w:p w14:paraId="38F14748" w14:textId="77777777" w:rsidR="00D61C66" w:rsidRDefault="00D61C66" w:rsidP="00D61C66">
      <w:pPr>
        <w:rPr>
          <w:sz w:val="22"/>
          <w:szCs w:val="22"/>
        </w:rPr>
      </w:pPr>
    </w:p>
    <w:p w14:paraId="45FC311E" w14:textId="1E189D70" w:rsidR="00D61C66" w:rsidRDefault="00D61C66" w:rsidP="00CB274F">
      <w:pPr>
        <w:ind w:left="720"/>
        <w:rPr>
          <w:sz w:val="22"/>
          <w:szCs w:val="22"/>
        </w:rPr>
      </w:pPr>
      <w:r w:rsidRPr="00D61C66">
        <w:rPr>
          <w:sz w:val="22"/>
          <w:szCs w:val="22"/>
        </w:rPr>
        <w:t xml:space="preserve">We commend the agency </w:t>
      </w:r>
      <w:r>
        <w:rPr>
          <w:sz w:val="22"/>
          <w:szCs w:val="22"/>
        </w:rPr>
        <w:t xml:space="preserve">for </w:t>
      </w:r>
      <w:r w:rsidRPr="00D61C66">
        <w:rPr>
          <w:sz w:val="22"/>
          <w:szCs w:val="22"/>
        </w:rPr>
        <w:t xml:space="preserve">aligning state rules with </w:t>
      </w:r>
      <w:r>
        <w:rPr>
          <w:sz w:val="22"/>
          <w:szCs w:val="22"/>
        </w:rPr>
        <w:t xml:space="preserve">current research and best practices by organizations including the </w:t>
      </w:r>
      <w:r w:rsidRPr="00D61C66">
        <w:rPr>
          <w:sz w:val="22"/>
          <w:szCs w:val="22"/>
        </w:rPr>
        <w:t>American Academy of Oral and Maxillofacial Radiology</w:t>
      </w:r>
      <w:r>
        <w:rPr>
          <w:sz w:val="22"/>
          <w:szCs w:val="22"/>
        </w:rPr>
        <w:t>.</w:t>
      </w:r>
    </w:p>
    <w:p w14:paraId="46AD370F" w14:textId="77777777" w:rsidR="00D61C66" w:rsidRDefault="00D61C66" w:rsidP="00D61C66">
      <w:pPr>
        <w:rPr>
          <w:b/>
          <w:bCs/>
          <w:sz w:val="22"/>
          <w:szCs w:val="22"/>
        </w:rPr>
      </w:pPr>
    </w:p>
    <w:p w14:paraId="122F67FD" w14:textId="63312A9A" w:rsidR="00D61C66" w:rsidRPr="00CB274F" w:rsidRDefault="00CB274F" w:rsidP="00CB274F">
      <w:pPr>
        <w:pStyle w:val="ListParagraph"/>
        <w:numPr>
          <w:ilvl w:val="0"/>
          <w:numId w:val="16"/>
        </w:numPr>
        <w:rPr>
          <w:sz w:val="22"/>
          <w:szCs w:val="22"/>
        </w:rPr>
      </w:pPr>
      <w:r w:rsidRPr="00CB274F">
        <w:rPr>
          <w:b/>
          <w:bCs/>
          <w:sz w:val="22"/>
          <w:szCs w:val="22"/>
        </w:rPr>
        <w:t xml:space="preserve">Continuing Education for Dentists, Hygienists, and Dental Assistants:  </w:t>
      </w:r>
      <w:r w:rsidR="00D61C66" w:rsidRPr="00CB274F">
        <w:rPr>
          <w:sz w:val="22"/>
          <w:szCs w:val="22"/>
        </w:rPr>
        <w:t>Texas AGD respectfully opposes the proposed amendment to 22 TAC §104.1, which would allow dentists and dental hygienists to earn two hours of continuing education (CE) credit by attesting to reading all TSBDE newsletters during the license renewal period.</w:t>
      </w:r>
    </w:p>
    <w:p w14:paraId="35E39344" w14:textId="77777777" w:rsidR="00D61C66" w:rsidRDefault="00D61C66" w:rsidP="00D61C66">
      <w:pPr>
        <w:rPr>
          <w:sz w:val="22"/>
          <w:szCs w:val="22"/>
        </w:rPr>
      </w:pPr>
    </w:p>
    <w:p w14:paraId="64BB7DD5" w14:textId="78BF21B9" w:rsidR="00C01252" w:rsidRPr="00264C5E" w:rsidRDefault="00CB274F" w:rsidP="00CB274F">
      <w:pPr>
        <w:ind w:left="720"/>
        <w:rPr>
          <w:sz w:val="22"/>
          <w:szCs w:val="22"/>
        </w:rPr>
      </w:pPr>
      <w:r w:rsidRPr="00C01252">
        <w:rPr>
          <w:sz w:val="22"/>
          <w:szCs w:val="22"/>
        </w:rPr>
        <w:t xml:space="preserve">While we recognize the value of TSBDE newsletters and remain committed to amplifying the agency’s messages, we do not believe that reading newsletters should replace CE hours. We also recognize that the TSBDE committees and the board diligently uphold high standards of learning to maintain professional standards and ensure quality patient care for licensees. </w:t>
      </w:r>
      <w:r w:rsidR="00741CCA" w:rsidRPr="00C01252">
        <w:rPr>
          <w:sz w:val="22"/>
          <w:szCs w:val="22"/>
        </w:rPr>
        <w:t xml:space="preserve">As an approved CE provider, we are concerned about potential unintended consequences of this rule. </w:t>
      </w:r>
      <w:r w:rsidR="00C01252" w:rsidRPr="00264C5E">
        <w:rPr>
          <w:sz w:val="22"/>
          <w:szCs w:val="22"/>
        </w:rPr>
        <w:t>For instance, if licensees can earn CE credit by merely attesting that they have read agency newsletters, they could dispute during an audit that they are not obligated to provide documentation verifying the completion of other CE courses.</w:t>
      </w:r>
    </w:p>
    <w:p w14:paraId="575778B4" w14:textId="77777777" w:rsidR="00741CCA" w:rsidRDefault="00741CCA" w:rsidP="00CB274F">
      <w:pPr>
        <w:ind w:left="720"/>
        <w:rPr>
          <w:sz w:val="22"/>
          <w:szCs w:val="22"/>
        </w:rPr>
      </w:pPr>
    </w:p>
    <w:p w14:paraId="20EF4C2D" w14:textId="77777777" w:rsidR="00D61C66" w:rsidRPr="00D61C66" w:rsidRDefault="00D61C66" w:rsidP="00CB274F">
      <w:pPr>
        <w:ind w:left="720"/>
        <w:rPr>
          <w:sz w:val="22"/>
          <w:szCs w:val="22"/>
        </w:rPr>
      </w:pPr>
      <w:r w:rsidRPr="00D61C66">
        <w:rPr>
          <w:sz w:val="22"/>
          <w:szCs w:val="22"/>
        </w:rPr>
        <w:t>Texas AGD also opposes the proposed rule §114.12(a)(2), which would require registered dental assistants to complete two hours of CE focused on TSBDE laws and regulations. Ultimately, it is the dentist’s responsibility to ensure that office operations comply with state laws and regulations. We believe dental assistants’ CE hours would be better utilized on topics that enhance their clinical skills and support their daily responsibilities.</w:t>
      </w:r>
    </w:p>
    <w:p w14:paraId="174A2547" w14:textId="51BE70EC" w:rsidR="00D61C66" w:rsidRPr="00D61C66" w:rsidRDefault="00D61C66" w:rsidP="00D61C66">
      <w:pPr>
        <w:rPr>
          <w:b/>
          <w:bCs/>
          <w:sz w:val="22"/>
          <w:szCs w:val="22"/>
        </w:rPr>
      </w:pPr>
    </w:p>
    <w:p w14:paraId="1284E0D9" w14:textId="28A9CBB4" w:rsidR="00D61C66" w:rsidRPr="00D61C66" w:rsidRDefault="00CB274F" w:rsidP="00D61C66">
      <w:pPr>
        <w:rPr>
          <w:sz w:val="22"/>
          <w:szCs w:val="22"/>
        </w:rPr>
      </w:pPr>
      <w:r w:rsidRPr="00D61C66">
        <w:rPr>
          <w:sz w:val="22"/>
          <w:szCs w:val="22"/>
        </w:rPr>
        <w:t>We appreciate the opportunity to provide input on these proposed rule changes</w:t>
      </w:r>
      <w:r>
        <w:rPr>
          <w:sz w:val="22"/>
          <w:szCs w:val="22"/>
        </w:rPr>
        <w:t xml:space="preserve"> and we t</w:t>
      </w:r>
      <w:r w:rsidR="00D61C66" w:rsidRPr="00D61C66">
        <w:rPr>
          <w:sz w:val="22"/>
          <w:szCs w:val="22"/>
        </w:rPr>
        <w:t xml:space="preserve">hank you for </w:t>
      </w:r>
      <w:r w:rsidR="00D61C66">
        <w:rPr>
          <w:sz w:val="22"/>
          <w:szCs w:val="22"/>
        </w:rPr>
        <w:t>your consideration</w:t>
      </w:r>
      <w:r w:rsidR="00D61C66" w:rsidRPr="00D61C66">
        <w:rPr>
          <w:sz w:val="22"/>
          <w:szCs w:val="22"/>
        </w:rPr>
        <w:t xml:space="preserve">. </w:t>
      </w:r>
    </w:p>
    <w:p w14:paraId="172C67AF" w14:textId="77777777" w:rsidR="00D61C66" w:rsidRDefault="00D61C66" w:rsidP="00D61C66">
      <w:pPr>
        <w:rPr>
          <w:sz w:val="22"/>
          <w:szCs w:val="22"/>
        </w:rPr>
      </w:pPr>
    </w:p>
    <w:p w14:paraId="11D5C192" w14:textId="6A74584B" w:rsidR="00D61C66" w:rsidRDefault="00D61C66" w:rsidP="00D61C66">
      <w:pPr>
        <w:rPr>
          <w:sz w:val="22"/>
          <w:szCs w:val="22"/>
        </w:rPr>
      </w:pPr>
      <w:r w:rsidRPr="00D61C66">
        <w:rPr>
          <w:sz w:val="22"/>
          <w:szCs w:val="22"/>
        </w:rPr>
        <w:t>Sincerely,</w:t>
      </w:r>
      <w:r w:rsidRPr="00D61C66">
        <w:rPr>
          <w:sz w:val="22"/>
          <w:szCs w:val="22"/>
        </w:rPr>
        <w:br/>
      </w:r>
    </w:p>
    <w:p w14:paraId="699D93BE" w14:textId="725704E9" w:rsidR="00D61C66" w:rsidRPr="00512A18" w:rsidRDefault="003B55D2" w:rsidP="00D61C66">
      <w:pPr>
        <w:rPr>
          <w:rFonts w:ascii="Blackadder ITC" w:hAnsi="Blackadder ITC"/>
          <w:i/>
          <w:iCs/>
          <w:sz w:val="22"/>
          <w:szCs w:val="22"/>
        </w:rPr>
      </w:pPr>
      <w:r w:rsidRPr="00512A18">
        <w:rPr>
          <w:rFonts w:ascii="Blackadder ITC" w:hAnsi="Blackadder ITC"/>
          <w:i/>
          <w:iCs/>
          <w:sz w:val="22"/>
          <w:szCs w:val="22"/>
        </w:rPr>
        <w:t xml:space="preserve">Hanna </w:t>
      </w:r>
      <w:r w:rsidR="00E42978" w:rsidRPr="00512A18">
        <w:rPr>
          <w:rFonts w:ascii="Blackadder ITC" w:hAnsi="Blackadder ITC"/>
          <w:i/>
          <w:iCs/>
          <w:sz w:val="22"/>
          <w:szCs w:val="22"/>
        </w:rPr>
        <w:t>Lindskog, DD</w:t>
      </w:r>
      <w:r w:rsidR="001E23F1">
        <w:rPr>
          <w:rFonts w:ascii="Blackadder ITC" w:hAnsi="Blackadder ITC"/>
          <w:i/>
          <w:iCs/>
          <w:sz w:val="22"/>
          <w:szCs w:val="22"/>
        </w:rPr>
        <w:t>S</w:t>
      </w:r>
    </w:p>
    <w:p w14:paraId="65467BD6" w14:textId="77777777" w:rsidR="00E42978" w:rsidRDefault="00E42978" w:rsidP="00D61C66">
      <w:pPr>
        <w:rPr>
          <w:sz w:val="22"/>
          <w:szCs w:val="22"/>
        </w:rPr>
      </w:pPr>
    </w:p>
    <w:p w14:paraId="40900CC8" w14:textId="1FF374D4" w:rsidR="005A181F" w:rsidRPr="00654509" w:rsidRDefault="00D61C66" w:rsidP="00D61C66">
      <w:pPr>
        <w:rPr>
          <w:sz w:val="22"/>
          <w:szCs w:val="22"/>
        </w:rPr>
      </w:pPr>
      <w:r w:rsidRPr="00D61C66">
        <w:rPr>
          <w:sz w:val="22"/>
          <w:szCs w:val="22"/>
        </w:rPr>
        <w:t>Hanna Lindskog, DDS, MAGD</w:t>
      </w:r>
      <w:r w:rsidRPr="00D61C66">
        <w:rPr>
          <w:sz w:val="22"/>
          <w:szCs w:val="22"/>
        </w:rPr>
        <w:br/>
        <w:t>President</w:t>
      </w:r>
      <w:r w:rsidRPr="00D61C66">
        <w:rPr>
          <w:sz w:val="22"/>
          <w:szCs w:val="22"/>
        </w:rPr>
        <w:br/>
        <w:t>Texas Academy of General Dentistry</w:t>
      </w:r>
    </w:p>
    <w:sectPr w:rsidR="005A181F" w:rsidRPr="00654509" w:rsidSect="002947F3">
      <w:headerReference w:type="even" r:id="rId11"/>
      <w:headerReference w:type="default" r:id="rId12"/>
      <w:footerReference w:type="even" r:id="rId13"/>
      <w:footerReference w:type="default" r:id="rId14"/>
      <w:headerReference w:type="first" r:id="rId15"/>
      <w:footerReference w:type="first" r:id="rId16"/>
      <w:pgSz w:w="12240" w:h="15840"/>
      <w:pgMar w:top="1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E229C" w14:textId="77777777" w:rsidR="00B82680" w:rsidRDefault="00B82680" w:rsidP="00303D59">
      <w:r>
        <w:separator/>
      </w:r>
    </w:p>
  </w:endnote>
  <w:endnote w:type="continuationSeparator" w:id="0">
    <w:p w14:paraId="0078D2DA" w14:textId="77777777" w:rsidR="00B82680" w:rsidRDefault="00B82680" w:rsidP="00303D59">
      <w:r>
        <w:continuationSeparator/>
      </w:r>
    </w:p>
  </w:endnote>
  <w:endnote w:type="continuationNotice" w:id="1">
    <w:p w14:paraId="776B356C" w14:textId="77777777" w:rsidR="00B82680" w:rsidRDefault="00B82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lackadder ITC">
    <w:panose1 w:val="04020505050007020D02"/>
    <w:charset w:val="4D"/>
    <w:family w:val="decorative"/>
    <w:pitch w:val="variable"/>
    <w:sig w:usb0="00000003" w:usb1="00000000" w:usb2="00000000" w:usb3="00000000" w:csb0="00000001" w:csb1="00000000"/>
  </w:font>
  <w:font w:name="Myriad Pro">
    <w:altName w:val="Segoe UI"/>
    <w:panose1 w:val="020B0604020202020204"/>
    <w:charset w:val="00"/>
    <w:family w:val="swiss"/>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D411A" w14:textId="77777777" w:rsidR="00D53722" w:rsidRDefault="00D537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B605F" w14:textId="3BA694FB" w:rsidR="005E3412" w:rsidRPr="00DC0C5F" w:rsidRDefault="008A4786" w:rsidP="005E3412">
    <w:pPr>
      <w:pStyle w:val="BasicParagraph"/>
      <w:jc w:val="center"/>
      <w:rPr>
        <w:rFonts w:ascii="Myriad Pro" w:hAnsi="Myriad Pro" w:cs="Myriad Pro"/>
        <w:caps/>
        <w:color w:val="FFFFFF"/>
        <w:spacing w:val="11"/>
        <w:sz w:val="22"/>
        <w:szCs w:val="22"/>
      </w:rPr>
    </w:pPr>
    <w:r w:rsidRPr="00DC0C5F">
      <w:rPr>
        <w:rFonts w:ascii="Myriad Pro" w:hAnsi="Myriad Pro" w:cs="Myriad Pro"/>
        <w:caps/>
        <w:noProof/>
        <w:color w:val="FFFFFF"/>
        <w:spacing w:val="11"/>
        <w:sz w:val="22"/>
        <w:szCs w:val="22"/>
      </w:rPr>
      <mc:AlternateContent>
        <mc:Choice Requires="wps">
          <w:drawing>
            <wp:anchor distT="0" distB="0" distL="114300" distR="114300" simplePos="0" relativeHeight="251658240" behindDoc="1" locked="0" layoutInCell="1" allowOverlap="1" wp14:anchorId="690E1302" wp14:editId="5BFC253E">
              <wp:simplePos x="0" y="0"/>
              <wp:positionH relativeFrom="column">
                <wp:posOffset>1905</wp:posOffset>
              </wp:positionH>
              <wp:positionV relativeFrom="paragraph">
                <wp:posOffset>74930</wp:posOffset>
              </wp:positionV>
              <wp:extent cx="6855460" cy="81915"/>
              <wp:effectExtent l="0" t="0" r="2540" b="0"/>
              <wp:wrapNone/>
              <wp:docPr id="6" name="Rectangle 6"/>
              <wp:cNvGraphicFramePr/>
              <a:graphic xmlns:a="http://schemas.openxmlformats.org/drawingml/2006/main">
                <a:graphicData uri="http://schemas.microsoft.com/office/word/2010/wordprocessingShape">
                  <wps:wsp>
                    <wps:cNvSpPr/>
                    <wps:spPr>
                      <a:xfrm flipV="1">
                        <a:off x="0" y="0"/>
                        <a:ext cx="6855460" cy="81915"/>
                      </a:xfrm>
                      <a:prstGeom prst="rect">
                        <a:avLst/>
                      </a:prstGeom>
                      <a:solidFill>
                        <a:srgbClr val="56A0D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5ABFFB7" id="Rectangle 6" o:spid="_x0000_s1026" style="position:absolute;margin-left:.15pt;margin-top:5.9pt;width:539.8pt;height:6.4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wGSwIAAJQEAAAOAAAAZHJzL2Uyb0RvYy54bWysVMFu2zAMvQ/YPwi6r06yJGuDOkXQoMOA&#10;oi3Qdj0zshQbkEWNUuJ0Xz9Kdtqu22nYRSBN4pF8fPT5xaG1Yq8pNOhKOT4ZSaGdwqpx21I+Plx9&#10;OpUiRHAVWHS6lM86yIvlxw/nnV/oCdZoK02CQVxYdL6UdYx+URRB1bqFcIJeOw4apBYiu7QtKoKO&#10;0VtbTEajedEhVZ5Q6RD467oPymXGN0areGtM0FHYUnJvMb+U3016i+U5LLYEvm7U0Ab8QxctNI6L&#10;vkCtIYLYUfMHVNsowoAmnihsCzSmUTrPwNOMR++mua/B6zwLkxP8C03h/8Gqm/29vyOmofNhEdhM&#10;UxwMtcLYxn/nnea5uFNxyLQ9v9CmD1Eo/jg/nc2mc2ZXcex0fDaeJVqLHibBeQrxq8ZWJKOUxFvJ&#10;oLC/DrFPPaak9IC2qa4aa7ND282lJbEH3uBsvhqtPw/ov6VZJ7pSTmbTUeoDWEnGQmSz9VUpg9tK&#10;AXbLElWRcm2HqUJef6q9hlD3NTLsUMK61ILOOhpafaUpWRusnu9IEPbCCl5dNYx2DSHeAbGSuBu+&#10;jnjLj7HILeJgSVEj/fzb95TPC+aoFB0rk9v/sQPSUthvjld/Np5Ok5SzM519mbBDbyObtxG3ay+R&#10;qRvzHXqVzZQf7dE0hO0TH9EqVeUQOMW1e6IG5zL2F8NnqPRqldNYvh7itbv36qiRxOPD4QnID4uO&#10;rJAbPKoYFu/23ecmhh2udhFNk8XwyiuLKDks/Syn4UzTbb31c9brz2T5CwAA//8DAFBLAwQUAAYA&#10;CAAAACEA38hQVN4AAAAHAQAADwAAAGRycy9kb3ducmV2LnhtbEyOy07DMBBF90j8gzVIbCpqtzxK&#10;Q5yqILFBYtGCkLJz4yGJGo+D7Tbp3zNdwfI+dO/JV6PrxBFDbD1pmE0VCKTK25ZqDZ8frzePIGIy&#10;ZE3nCTWcMMKquLzITWb9QBs8blMteIRiZjQ0KfWZlLFq0Jk49T0SZ98+OJNYhlraYAYed52cK/Ug&#10;nWmJHxrT40uD1X57cBq+9ut7/1NOZPm2KU9heH9WkzhqfX01rp9AJBzTXxnO+IwOBTPt/IFsFJ2G&#10;W+6xO2P+c6oWyyWInYb53QJkkcv//MUvAAAA//8DAFBLAQItABQABgAIAAAAIQC2gziS/gAAAOEB&#10;AAATAAAAAAAAAAAAAAAAAAAAAABbQ29udGVudF9UeXBlc10ueG1sUEsBAi0AFAAGAAgAAAAhADj9&#10;If/WAAAAlAEAAAsAAAAAAAAAAAAAAAAALwEAAF9yZWxzLy5yZWxzUEsBAi0AFAAGAAgAAAAhAOoh&#10;LAZLAgAAlAQAAA4AAAAAAAAAAAAAAAAALgIAAGRycy9lMm9Eb2MueG1sUEsBAi0AFAAGAAgAAAAh&#10;AN/IUFTeAAAABwEAAA8AAAAAAAAAAAAAAAAApQQAAGRycy9kb3ducmV2LnhtbFBLBQYAAAAABAAE&#10;APMAAACwBQAAAAA=&#10;" fillcolor="#56a0d3" stroked="f" strokeweight="2pt"/>
          </w:pict>
        </mc:Fallback>
      </mc:AlternateContent>
    </w:r>
    <w:r w:rsidRPr="00260F7D">
      <w:rPr>
        <w:noProof/>
      </w:rPr>
      <mc:AlternateContent>
        <mc:Choice Requires="wps">
          <w:drawing>
            <wp:anchor distT="0" distB="0" distL="114300" distR="114300" simplePos="0" relativeHeight="251658241" behindDoc="1" locked="0" layoutInCell="1" allowOverlap="1" wp14:anchorId="732D9C7A" wp14:editId="37D8F62C">
              <wp:simplePos x="0" y="0"/>
              <wp:positionH relativeFrom="column">
                <wp:posOffset>1905</wp:posOffset>
              </wp:positionH>
              <wp:positionV relativeFrom="paragraph">
                <wp:posOffset>147158</wp:posOffset>
              </wp:positionV>
              <wp:extent cx="6855460" cy="250825"/>
              <wp:effectExtent l="0" t="0" r="2540" b="0"/>
              <wp:wrapNone/>
              <wp:docPr id="10" name="Rectangle 10"/>
              <wp:cNvGraphicFramePr/>
              <a:graphic xmlns:a="http://schemas.openxmlformats.org/drawingml/2006/main">
                <a:graphicData uri="http://schemas.microsoft.com/office/word/2010/wordprocessingShape">
                  <wps:wsp>
                    <wps:cNvSpPr/>
                    <wps:spPr>
                      <a:xfrm>
                        <a:off x="0" y="0"/>
                        <a:ext cx="6855460" cy="250825"/>
                      </a:xfrm>
                      <a:prstGeom prst="rect">
                        <a:avLst/>
                      </a:prstGeom>
                      <a:solidFill>
                        <a:srgbClr val="3B3D3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5BA1B7B" id="Rectangle 10" o:spid="_x0000_s1026" style="position:absolute;margin-left:.15pt;margin-top:11.6pt;width:539.8pt;height:19.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4RgIAAIsEAAAOAAAAZHJzL2Uyb0RvYy54bWysVMFu2zAMvQ/YPwi6r07SpEuDOkXWoMOA&#10;oi3QDj0zshQbkEWNUuJ0Xz9Kdpuu22nYRSFF+pF6fMzF5aG1Yq8pNOhKOT4ZSaGdwqpx21J+f7z+&#10;NJciRHAVWHS6lM86yMvlxw8XnV/oCdZoK02CQVxYdL6UdYx+URRB1bqFcIJeOw4apBYiu7QtKoKO&#10;0VtbTEajs6JDqjyh0iHw7boPymXGN0areGdM0FHYUnJvMZ+Uz006i+UFLLYEvm7U0Ab8QxctNI6L&#10;vkKtIYLYUfMHVNsowoAmnihsCzSmUTq/gV8zHr17zUMNXue3MDnBv9IU/h+sut0/+HtiGjofFoHN&#10;9IqDoTb9cn/ikMl6fiVLH6JQfHk2n82mZ8yp4thkNppPZonN4vi1pxC/amxFMkpJPIzMEexvQuxT&#10;X1JSsYC2qa4ba7ND282VJbEHHtzpl9P16XpA/y3NOtGl6tNRagRYQMZCZLP1VSmD20oBdsvKVJFy&#10;bYepQp56qr2GUPc1MuxQwrrUgs7yGVo9spOsDVbP9yQIez0Fr64bRruBEO+BWEDcDS9FvOPDWOQW&#10;cbCkqJF+/u0+5fNcOSpFx4Lk9n/sgLQU9pvjiZ+Pp9Ok4OxMZ58n7NDbyOZtxO3aK2Tqxrx+XmUz&#10;5Uf7YhrC9ol3Z5Wqcgic4to9UYNzFftF4e1TerXKaaxaD/HGPXiVwBNPicfHwxOQHwYdWSK3+CJe&#10;WLybd5+bvnS42kU0TRbDkVcWUXJY8VlOw3amlXrr56zjf8jyFwAAAP//AwBQSwMEFAAGAAgAAAAh&#10;AJTyTaDcAAAABwEAAA8AAABkcnMvZG93bnJldi54bWxMjsFOwzAQRO9I/IO1SNyoQwotDXEqKOqV&#10;ilLBdRsvTlR7HcVuGvh63BMcRzN688rl6KwYqA+tZwW3kwwEce11y0bB7n198wAiRGSN1jMp+KYA&#10;y+ryosRC+xO/0bCNRiQIhwIVNDF2hZShbshhmPiOOHVfvncYU+yN1D2eEtxZmWfZTDpsOT002NGq&#10;ofqwPToFZnP4eMZXs/l50fefw46sXd2tlbq+Gp8eQUQa498YzvpJHarktPdH1kFYBdO0U5BPcxDn&#10;NpsvFiD2Cmb5HGRVyv/+1S8AAAD//wMAUEsBAi0AFAAGAAgAAAAhALaDOJL+AAAA4QEAABMAAAAA&#10;AAAAAAAAAAAAAAAAAFtDb250ZW50X1R5cGVzXS54bWxQSwECLQAUAAYACAAAACEAOP0h/9YAAACU&#10;AQAACwAAAAAAAAAAAAAAAAAvAQAAX3JlbHMvLnJlbHNQSwECLQAUAAYACAAAACEA5STf+EYCAACL&#10;BAAADgAAAAAAAAAAAAAAAAAuAgAAZHJzL2Uyb0RvYy54bWxQSwECLQAUAAYACAAAACEAlPJNoNwA&#10;AAAHAQAADwAAAAAAAAAAAAAAAACgBAAAZHJzL2Rvd25yZXYueG1sUEsFBgAAAAAEAAQA8wAAAKkF&#10;AAAAAA==&#10;" fillcolor="#3b3d3d" stroked="f" strokeweight="2pt"/>
          </w:pict>
        </mc:Fallback>
      </mc:AlternateContent>
    </w:r>
  </w:p>
  <w:p w14:paraId="770CF347" w14:textId="29FC54E1" w:rsidR="00303D59" w:rsidRPr="006E6CAD" w:rsidRDefault="00260F7D" w:rsidP="005E3412">
    <w:pPr>
      <w:pStyle w:val="BasicParagraph"/>
      <w:jc w:val="center"/>
      <w:rPr>
        <w:rFonts w:ascii="Myriad Pro" w:hAnsi="Myriad Pro" w:cs="Myriad Pro"/>
        <w:caps/>
        <w:color w:val="FFFFFF"/>
        <w:spacing w:val="11"/>
        <w:sz w:val="22"/>
        <w:szCs w:val="22"/>
        <w:lang w:val="fr-FR"/>
      </w:rPr>
    </w:pPr>
    <w:r w:rsidRPr="006E6CAD">
      <w:rPr>
        <w:rFonts w:ascii="Myriad Pro" w:hAnsi="Myriad Pro" w:cs="Myriad Pro"/>
        <w:caps/>
        <w:color w:val="FFFFFF"/>
        <w:spacing w:val="11"/>
        <w:sz w:val="20"/>
        <w:szCs w:val="20"/>
        <w:lang w:val="fr-FR"/>
      </w:rPr>
      <w:t>1016 LA POSADA DR SUITE 2</w:t>
    </w:r>
    <w:r w:rsidR="00D53722" w:rsidRPr="006E6CAD">
      <w:rPr>
        <w:rFonts w:ascii="Myriad Pro" w:hAnsi="Myriad Pro" w:cs="Myriad Pro"/>
        <w:caps/>
        <w:color w:val="FFFFFF"/>
        <w:spacing w:val="11"/>
        <w:sz w:val="20"/>
        <w:szCs w:val="20"/>
        <w:lang w:val="fr-FR"/>
      </w:rPr>
      <w:t>1</w:t>
    </w:r>
    <w:r w:rsidRPr="006E6CAD">
      <w:rPr>
        <w:rFonts w:ascii="Myriad Pro" w:hAnsi="Myriad Pro" w:cs="Myriad Pro"/>
        <w:caps/>
        <w:color w:val="FFFFFF"/>
        <w:spacing w:val="11"/>
        <w:sz w:val="20"/>
        <w:szCs w:val="20"/>
        <w:lang w:val="fr-FR"/>
      </w:rPr>
      <w:t>0</w:t>
    </w:r>
    <w:r w:rsidRPr="006E6CAD">
      <w:rPr>
        <w:rFonts w:ascii="Myriad Pro" w:hAnsi="Myriad Pro" w:cs="Century Gothic"/>
        <w:caps/>
        <w:color w:val="FFFFFF"/>
        <w:spacing w:val="11"/>
        <w:sz w:val="22"/>
        <w:szCs w:val="22"/>
        <w:lang w:val="fr-FR"/>
      </w:rPr>
      <w:t xml:space="preserve"> </w:t>
    </w:r>
    <w:r w:rsidRPr="00DC0C5F">
      <w:rPr>
        <w:rFonts w:ascii="Garamond" w:hAnsi="Garamond"/>
        <w:b/>
        <w:color w:val="FFFFFF"/>
        <w:sz w:val="10"/>
        <w:szCs w:val="10"/>
      </w:rPr>
      <w:sym w:font="Wingdings" w:char="F06C"/>
    </w:r>
    <w:r w:rsidRPr="006E6CAD">
      <w:rPr>
        <w:rFonts w:ascii="Myriad Pro" w:hAnsi="Myriad Pro" w:cs="Century Gothic"/>
        <w:caps/>
        <w:color w:val="FFFFFF"/>
        <w:spacing w:val="11"/>
        <w:sz w:val="22"/>
        <w:szCs w:val="22"/>
        <w:lang w:val="fr-FR"/>
      </w:rPr>
      <w:t xml:space="preserve"> </w:t>
    </w:r>
    <w:r w:rsidRPr="006E6CAD">
      <w:rPr>
        <w:rFonts w:ascii="Myriad Pro" w:hAnsi="Myriad Pro" w:cs="Myriad Pro"/>
        <w:caps/>
        <w:color w:val="FFFFFF"/>
        <w:spacing w:val="11"/>
        <w:sz w:val="20"/>
        <w:szCs w:val="22"/>
        <w:lang w:val="fr-FR"/>
      </w:rPr>
      <w:t>AUSTIN, TX 78752</w:t>
    </w:r>
    <w:r w:rsidRPr="006E6CAD">
      <w:rPr>
        <w:rFonts w:ascii="Myriad Pro" w:hAnsi="Myriad Pro" w:cs="Century Gothic"/>
        <w:caps/>
        <w:color w:val="FFFFFF"/>
        <w:spacing w:val="11"/>
        <w:sz w:val="20"/>
        <w:szCs w:val="22"/>
        <w:lang w:val="fr-FR"/>
      </w:rPr>
      <w:t xml:space="preserve"> </w:t>
    </w:r>
    <w:r w:rsidRPr="00DC0C5F">
      <w:rPr>
        <w:rFonts w:ascii="Garamond" w:hAnsi="Garamond"/>
        <w:b/>
        <w:color w:val="FFFFFF"/>
        <w:sz w:val="10"/>
        <w:szCs w:val="10"/>
      </w:rPr>
      <w:sym w:font="Wingdings" w:char="F06C"/>
    </w:r>
    <w:r w:rsidRPr="006E6CAD">
      <w:rPr>
        <w:rFonts w:ascii="Myriad Pro" w:hAnsi="Myriad Pro" w:cs="Century Gothic"/>
        <w:caps/>
        <w:color w:val="FFFFFF"/>
        <w:spacing w:val="11"/>
        <w:sz w:val="22"/>
        <w:szCs w:val="22"/>
        <w:lang w:val="fr-FR"/>
      </w:rPr>
      <w:t xml:space="preserve"> </w:t>
    </w:r>
    <w:r w:rsidRPr="006E6CAD">
      <w:rPr>
        <w:rFonts w:ascii="Myriad Pro" w:hAnsi="Myriad Pro" w:cs="Century Gothic"/>
        <w:caps/>
        <w:color w:val="FFFFFF"/>
        <w:spacing w:val="11"/>
        <w:sz w:val="20"/>
        <w:szCs w:val="22"/>
        <w:lang w:val="fr-FR"/>
      </w:rPr>
      <w:t xml:space="preserve">P </w:t>
    </w:r>
    <w:r w:rsidRPr="006E6CAD">
      <w:rPr>
        <w:rFonts w:ascii="Myriad Pro" w:hAnsi="Myriad Pro" w:cs="Myriad Pro"/>
        <w:caps/>
        <w:color w:val="FFFFFF"/>
        <w:spacing w:val="11"/>
        <w:sz w:val="20"/>
        <w:szCs w:val="22"/>
        <w:lang w:val="fr-FR"/>
      </w:rPr>
      <w:t>512-371-7144</w:t>
    </w:r>
    <w:r w:rsidRPr="006E6CAD">
      <w:rPr>
        <w:rFonts w:ascii="Myriad Pro" w:hAnsi="Myriad Pro" w:cs="Century Gothic"/>
        <w:caps/>
        <w:color w:val="FFFFFF"/>
        <w:spacing w:val="11"/>
        <w:sz w:val="20"/>
        <w:szCs w:val="22"/>
        <w:lang w:val="fr-FR"/>
      </w:rPr>
      <w:t xml:space="preserve"> </w:t>
    </w:r>
    <w:r w:rsidRPr="00DC0C5F">
      <w:rPr>
        <w:rFonts w:ascii="Garamond" w:hAnsi="Garamond"/>
        <w:b/>
        <w:color w:val="FFFFFF"/>
        <w:sz w:val="10"/>
        <w:szCs w:val="10"/>
      </w:rPr>
      <w:sym w:font="Wingdings" w:char="F06C"/>
    </w:r>
    <w:r w:rsidRPr="006E6CAD">
      <w:rPr>
        <w:rFonts w:ascii="Myriad Pro" w:hAnsi="Myriad Pro" w:cs="Century Gothic"/>
        <w:caps/>
        <w:color w:val="FFFFFF"/>
        <w:spacing w:val="11"/>
        <w:sz w:val="22"/>
        <w:szCs w:val="22"/>
        <w:lang w:val="fr-FR"/>
      </w:rPr>
      <w:t xml:space="preserve"> </w:t>
    </w:r>
    <w:r w:rsidRPr="006E6CAD">
      <w:rPr>
        <w:rFonts w:ascii="Myriad Pro" w:hAnsi="Myriad Pro" w:cs="Myriad Pro"/>
        <w:caps/>
        <w:color w:val="FFFFFF"/>
        <w:spacing w:val="11"/>
        <w:sz w:val="20"/>
        <w:szCs w:val="22"/>
        <w:lang w:val="fr-FR"/>
      </w:rPr>
      <w:t>F 512-371-7178</w:t>
    </w:r>
    <w:r w:rsidRPr="006E6CAD">
      <w:rPr>
        <w:rFonts w:ascii="Myriad Pro" w:hAnsi="Myriad Pro" w:cs="Century Gothic"/>
        <w:caps/>
        <w:color w:val="FFFFFF"/>
        <w:spacing w:val="11"/>
        <w:sz w:val="20"/>
        <w:szCs w:val="22"/>
        <w:lang w:val="fr-FR"/>
      </w:rPr>
      <w:t xml:space="preserve"> </w:t>
    </w:r>
    <w:r w:rsidRPr="00DC0C5F">
      <w:rPr>
        <w:rFonts w:ascii="Garamond" w:hAnsi="Garamond"/>
        <w:b/>
        <w:color w:val="FFFFFF"/>
        <w:sz w:val="10"/>
        <w:szCs w:val="10"/>
      </w:rPr>
      <w:sym w:font="Wingdings" w:char="F06C"/>
    </w:r>
    <w:r w:rsidRPr="006E6CAD">
      <w:rPr>
        <w:rFonts w:ascii="Myriad Pro" w:hAnsi="Myriad Pro" w:cs="Century Gothic"/>
        <w:caps/>
        <w:color w:val="FFFFFF"/>
        <w:spacing w:val="11"/>
        <w:sz w:val="22"/>
        <w:szCs w:val="22"/>
        <w:lang w:val="fr-FR"/>
      </w:rPr>
      <w:t xml:space="preserve"> </w:t>
    </w:r>
    <w:hyperlink r:id="rId1" w:history="1">
      <w:r w:rsidRPr="006E6CAD">
        <w:rPr>
          <w:rStyle w:val="Hyperlink"/>
          <w:rFonts w:ascii="Myriad Pro" w:hAnsi="Myriad Pro" w:cs="Myriad Pro"/>
          <w:caps/>
          <w:color w:val="FFFFFF"/>
          <w:spacing w:val="11"/>
          <w:sz w:val="20"/>
          <w:szCs w:val="22"/>
          <w:lang w:val="fr-FR"/>
        </w:rPr>
        <w:t>WWW.TAGD.ORG</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621CE" w14:textId="77777777" w:rsidR="00D53722" w:rsidRDefault="00D53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FE925" w14:textId="77777777" w:rsidR="00B82680" w:rsidRDefault="00B82680" w:rsidP="00303D59">
      <w:r>
        <w:separator/>
      </w:r>
    </w:p>
  </w:footnote>
  <w:footnote w:type="continuationSeparator" w:id="0">
    <w:p w14:paraId="4DB2E8D2" w14:textId="77777777" w:rsidR="00B82680" w:rsidRDefault="00B82680" w:rsidP="00303D59">
      <w:r>
        <w:continuationSeparator/>
      </w:r>
    </w:p>
  </w:footnote>
  <w:footnote w:type="continuationNotice" w:id="1">
    <w:p w14:paraId="3DC70DC6" w14:textId="77777777" w:rsidR="00B82680" w:rsidRDefault="00B826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7B8CC" w14:textId="77777777" w:rsidR="00D53722" w:rsidRDefault="00D53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EBCC2" w14:textId="775F3693" w:rsidR="0039691E" w:rsidRDefault="0039691E">
    <w:pPr>
      <w:pStyle w:val="Header"/>
      <w:rPr>
        <w:noProof/>
      </w:rPr>
    </w:pPr>
  </w:p>
  <w:p w14:paraId="2F5C27C2" w14:textId="77777777" w:rsidR="00C401E2" w:rsidRDefault="00483E31">
    <w:pPr>
      <w:pStyle w:val="Header"/>
      <w:rPr>
        <w:noProof/>
      </w:rPr>
    </w:pPr>
    <w:r>
      <w:rPr>
        <w:noProof/>
      </w:rPr>
      <w:drawing>
        <wp:inline distT="0" distB="0" distL="0" distR="0" wp14:anchorId="26165112" wp14:editId="4130DC02">
          <wp:extent cx="2838734" cy="68129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Texas-Logo-COLOR.jpg"/>
                  <pic:cNvPicPr/>
                </pic:nvPicPr>
                <pic:blipFill>
                  <a:blip r:embed="rId1">
                    <a:extLst>
                      <a:ext uri="{28A0092B-C50C-407E-A947-70E740481C1C}">
                        <a14:useLocalDpi xmlns:a14="http://schemas.microsoft.com/office/drawing/2010/main" val="0"/>
                      </a:ext>
                    </a:extLst>
                  </a:blip>
                  <a:stretch>
                    <a:fillRect/>
                  </a:stretch>
                </pic:blipFill>
                <pic:spPr>
                  <a:xfrm>
                    <a:off x="0" y="0"/>
                    <a:ext cx="2837835" cy="681080"/>
                  </a:xfrm>
                  <a:prstGeom prst="rect">
                    <a:avLst/>
                  </a:prstGeom>
                </pic:spPr>
              </pic:pic>
            </a:graphicData>
          </a:graphic>
        </wp:inline>
      </w:drawing>
    </w:r>
  </w:p>
  <w:p w14:paraId="7D6E09AD" w14:textId="77777777" w:rsidR="005E3412" w:rsidRDefault="008A4786">
    <w:pPr>
      <w:pStyle w:val="Header"/>
      <w:rPr>
        <w:noProof/>
      </w:rPr>
    </w:pPr>
    <w:r>
      <w:rPr>
        <w:noProof/>
      </w:rPr>
      <mc:AlternateContent>
        <mc:Choice Requires="wps">
          <w:drawing>
            <wp:anchor distT="0" distB="0" distL="114300" distR="114300" simplePos="0" relativeHeight="251658242" behindDoc="0" locked="0" layoutInCell="1" allowOverlap="1" wp14:anchorId="0A75029C" wp14:editId="45F1D1E5">
              <wp:simplePos x="0" y="0"/>
              <wp:positionH relativeFrom="column">
                <wp:posOffset>3658</wp:posOffset>
              </wp:positionH>
              <wp:positionV relativeFrom="paragraph">
                <wp:posOffset>74295</wp:posOffset>
              </wp:positionV>
              <wp:extent cx="6854342"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6854342" cy="0"/>
                      </a:xfrm>
                      <a:prstGeom prst="line">
                        <a:avLst/>
                      </a:prstGeom>
                      <a:ln w="9525">
                        <a:solidFill>
                          <a:srgbClr val="56A0D3"/>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73F0EB6F" id="Straight Connector 4"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3pt,5.85pt" to="540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ocvwEAANIDAAAOAAAAZHJzL2Uyb0RvYy54bWysU8tu2zAQvBfoPxC815Kd2EgFy0ERI7kU&#10;bdC0H0CTS4sIXyAZS/77LilbDtKiKIpeKHI5M7uzXK1vB6PJAUJUzrZ0PqspAcudUHbf0h/f7z/c&#10;UBITs4JpZ6GlR4j0dvP+3br3DSxc57SAQFDExqb3Le1S8k1VRd6BYXHmPFi8lC4YlvAY9pUIrEd1&#10;o6tFXa+q3gXhg+MQI0a34yXdFH0pgaevUkZIRLcUa0tlDWXd5bXarFmzD8x3ip/KYP9QhWHKYtJJ&#10;assSIy9B/SJlFA8uOplm3JnKSak4FA/oZl6/cfPUMQ/FCzYn+qlN8f/J8i+HO/sYsA29j030jyG7&#10;GGQw+Yv1kaE06zg1C4ZEOAZXN8vrq+sFJfx8V12IPsT0AM6QvGmpVjb7YA07fI4JkyH0DMlhbUnf&#10;0o/LxbKgotNK3Cut810M+92dDuTA8AmXq0/19iq/Giq8guFJWwxeTJRdOmoY9b+BJEpg2fMxQ54v&#10;mGTF8/ykqS0iM0Vi+olU/5l0wmYalJn7W+KELhmdTRPRKOvC77Km4VyqHPFn16PXbHvnxLE8aWkH&#10;Dk7p1mnI82S+Phf65Vfc/AQAAP//AwBQSwMEFAAGAAgAAAAhABtF0EPXAAAABwEAAA8AAABkcnMv&#10;ZG93bnJldi54bWxMj8FuwjAQRO+V+g/WVuqt2HAAFOIgBOLArVDE2cRLHGGvo9hA+vdd1EN73JnR&#10;7JtyOQQv7tinNpKG8UiBQKqjbanRcPzafsxBpGzIGh8JNXxjgmX1+lKawsYH7fF+yI3gEkqF0eBy&#10;7gopU+0wmDSKHRJ7l9gHk/nsG2l78+Dy4OVEqakMpiX+4EyHa4f19XALGoZdt5ezzel4WQeK/pqC&#10;231OtH5/G1YLEBmH/BeGJz6jQ8VM53gjm4TXMOUcq+MZiKer5oqnnX8VWZXyP3/1AwAA//8DAFBL&#10;AQItABQABgAIAAAAIQC2gziS/gAAAOEBAAATAAAAAAAAAAAAAAAAAAAAAABbQ29udGVudF9UeXBl&#10;c10ueG1sUEsBAi0AFAAGAAgAAAAhADj9If/WAAAAlAEAAAsAAAAAAAAAAAAAAAAALwEAAF9yZWxz&#10;Ly5yZWxzUEsBAi0AFAAGAAgAAAAhAM8iihy/AQAA0gMAAA4AAAAAAAAAAAAAAAAALgIAAGRycy9l&#10;Mm9Eb2MueG1sUEsBAi0AFAAGAAgAAAAhABtF0EPXAAAABwEAAA8AAAAAAAAAAAAAAAAAGQQAAGRy&#10;cy9kb3ducmV2LnhtbFBLBQYAAAAABAAEAPMAAAAdBQAAAAA=&#10;" strokecolor="#56a0d3"/>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DA353" w14:textId="77777777" w:rsidR="00D53722" w:rsidRDefault="00D53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62473"/>
    <w:multiLevelType w:val="hybridMultilevel"/>
    <w:tmpl w:val="26DE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619E6"/>
    <w:multiLevelType w:val="hybridMultilevel"/>
    <w:tmpl w:val="9BBE2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613BC"/>
    <w:multiLevelType w:val="hybridMultilevel"/>
    <w:tmpl w:val="B1AA5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692BA3"/>
    <w:multiLevelType w:val="hybridMultilevel"/>
    <w:tmpl w:val="AC4210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3B42234"/>
    <w:multiLevelType w:val="hybridMultilevel"/>
    <w:tmpl w:val="DADA9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D7143"/>
    <w:multiLevelType w:val="hybridMultilevel"/>
    <w:tmpl w:val="79181CFA"/>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F41156E"/>
    <w:multiLevelType w:val="hybridMultilevel"/>
    <w:tmpl w:val="C0F8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01645C"/>
    <w:multiLevelType w:val="hybridMultilevel"/>
    <w:tmpl w:val="7CFC72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50311"/>
    <w:multiLevelType w:val="hybridMultilevel"/>
    <w:tmpl w:val="A7923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9B2C73"/>
    <w:multiLevelType w:val="hybridMultilevel"/>
    <w:tmpl w:val="7F22A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0A353A7"/>
    <w:multiLevelType w:val="hybridMultilevel"/>
    <w:tmpl w:val="E6E445E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50CC70C1"/>
    <w:multiLevelType w:val="hybridMultilevel"/>
    <w:tmpl w:val="5320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380585"/>
    <w:multiLevelType w:val="hybridMultilevel"/>
    <w:tmpl w:val="615090F8"/>
    <w:lvl w:ilvl="0" w:tplc="55645CB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AA68A7"/>
    <w:multiLevelType w:val="multilevel"/>
    <w:tmpl w:val="2882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806333"/>
    <w:multiLevelType w:val="hybridMultilevel"/>
    <w:tmpl w:val="BFA4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211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4493217">
    <w:abstractNumId w:val="14"/>
  </w:num>
  <w:num w:numId="2" w16cid:durableId="1011184251">
    <w:abstractNumId w:val="12"/>
  </w:num>
  <w:num w:numId="3" w16cid:durableId="61758384">
    <w:abstractNumId w:val="9"/>
  </w:num>
  <w:num w:numId="4" w16cid:durableId="1725716934">
    <w:abstractNumId w:val="8"/>
  </w:num>
  <w:num w:numId="5" w16cid:durableId="1640963820">
    <w:abstractNumId w:val="6"/>
  </w:num>
  <w:num w:numId="6" w16cid:durableId="1387756777">
    <w:abstractNumId w:val="11"/>
  </w:num>
  <w:num w:numId="7" w16cid:durableId="1624001555">
    <w:abstractNumId w:val="7"/>
  </w:num>
  <w:num w:numId="8" w16cid:durableId="650599039">
    <w:abstractNumId w:val="1"/>
  </w:num>
  <w:num w:numId="9" w16cid:durableId="1964261001">
    <w:abstractNumId w:val="4"/>
  </w:num>
  <w:num w:numId="10" w16cid:durableId="2106612178">
    <w:abstractNumId w:val="13"/>
  </w:num>
  <w:num w:numId="11" w16cid:durableId="1267229066">
    <w:abstractNumId w:val="10"/>
  </w:num>
  <w:num w:numId="12" w16cid:durableId="65763930">
    <w:abstractNumId w:val="15"/>
  </w:num>
  <w:num w:numId="13" w16cid:durableId="1113744872">
    <w:abstractNumId w:val="2"/>
  </w:num>
  <w:num w:numId="14" w16cid:durableId="1200317166">
    <w:abstractNumId w:val="3"/>
  </w:num>
  <w:num w:numId="15" w16cid:durableId="1833370531">
    <w:abstractNumId w:val="5"/>
  </w:num>
  <w:num w:numId="16" w16cid:durableId="2829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A16"/>
    <w:rsid w:val="00022A9F"/>
    <w:rsid w:val="00093BE5"/>
    <w:rsid w:val="00140BC1"/>
    <w:rsid w:val="001714E9"/>
    <w:rsid w:val="0018751E"/>
    <w:rsid w:val="001A5F29"/>
    <w:rsid w:val="001C08BE"/>
    <w:rsid w:val="001E23F1"/>
    <w:rsid w:val="001F4272"/>
    <w:rsid w:val="00203283"/>
    <w:rsid w:val="00260F7D"/>
    <w:rsid w:val="00264C5E"/>
    <w:rsid w:val="00276F81"/>
    <w:rsid w:val="002947F3"/>
    <w:rsid w:val="002E6040"/>
    <w:rsid w:val="00300C48"/>
    <w:rsid w:val="00303D59"/>
    <w:rsid w:val="00330722"/>
    <w:rsid w:val="0033430F"/>
    <w:rsid w:val="00335782"/>
    <w:rsid w:val="0039691E"/>
    <w:rsid w:val="003B55D2"/>
    <w:rsid w:val="003B582F"/>
    <w:rsid w:val="00406E8F"/>
    <w:rsid w:val="004326C3"/>
    <w:rsid w:val="004403EC"/>
    <w:rsid w:val="00455393"/>
    <w:rsid w:val="00464152"/>
    <w:rsid w:val="0047451D"/>
    <w:rsid w:val="00483E31"/>
    <w:rsid w:val="004B39EB"/>
    <w:rsid w:val="004D1B19"/>
    <w:rsid w:val="004E6547"/>
    <w:rsid w:val="004E695B"/>
    <w:rsid w:val="00501042"/>
    <w:rsid w:val="00501D07"/>
    <w:rsid w:val="00512A18"/>
    <w:rsid w:val="00545421"/>
    <w:rsid w:val="00567E9B"/>
    <w:rsid w:val="00571DE4"/>
    <w:rsid w:val="005912AD"/>
    <w:rsid w:val="005A181F"/>
    <w:rsid w:val="005E106E"/>
    <w:rsid w:val="005E3412"/>
    <w:rsid w:val="006114E4"/>
    <w:rsid w:val="0063060A"/>
    <w:rsid w:val="00637BBE"/>
    <w:rsid w:val="00637E20"/>
    <w:rsid w:val="00641EC2"/>
    <w:rsid w:val="00654509"/>
    <w:rsid w:val="0066619A"/>
    <w:rsid w:val="00667BED"/>
    <w:rsid w:val="00672D4D"/>
    <w:rsid w:val="00683F82"/>
    <w:rsid w:val="006C1CDB"/>
    <w:rsid w:val="006E037D"/>
    <w:rsid w:val="006E6CAD"/>
    <w:rsid w:val="00711846"/>
    <w:rsid w:val="00716958"/>
    <w:rsid w:val="00717FC6"/>
    <w:rsid w:val="007270E5"/>
    <w:rsid w:val="00741CCA"/>
    <w:rsid w:val="007600B4"/>
    <w:rsid w:val="00767645"/>
    <w:rsid w:val="00781890"/>
    <w:rsid w:val="007F25D5"/>
    <w:rsid w:val="008275C7"/>
    <w:rsid w:val="0086053E"/>
    <w:rsid w:val="008A4786"/>
    <w:rsid w:val="008B6E5F"/>
    <w:rsid w:val="008C2950"/>
    <w:rsid w:val="008F09A1"/>
    <w:rsid w:val="00906821"/>
    <w:rsid w:val="009157C5"/>
    <w:rsid w:val="00927356"/>
    <w:rsid w:val="009546A8"/>
    <w:rsid w:val="00954B22"/>
    <w:rsid w:val="00986EE0"/>
    <w:rsid w:val="009877A6"/>
    <w:rsid w:val="009902C1"/>
    <w:rsid w:val="009B09A6"/>
    <w:rsid w:val="009D5E7A"/>
    <w:rsid w:val="009E0F8E"/>
    <w:rsid w:val="00A026FD"/>
    <w:rsid w:val="00A25C4F"/>
    <w:rsid w:val="00A347DB"/>
    <w:rsid w:val="00A34ED9"/>
    <w:rsid w:val="00A66656"/>
    <w:rsid w:val="00A70984"/>
    <w:rsid w:val="00A8544E"/>
    <w:rsid w:val="00A93BB7"/>
    <w:rsid w:val="00AC5943"/>
    <w:rsid w:val="00B035E1"/>
    <w:rsid w:val="00B14CB6"/>
    <w:rsid w:val="00B564CB"/>
    <w:rsid w:val="00B71FD9"/>
    <w:rsid w:val="00B82680"/>
    <w:rsid w:val="00BA2A64"/>
    <w:rsid w:val="00BA7A33"/>
    <w:rsid w:val="00BC46CD"/>
    <w:rsid w:val="00BC622F"/>
    <w:rsid w:val="00C01252"/>
    <w:rsid w:val="00C121AD"/>
    <w:rsid w:val="00C22B3C"/>
    <w:rsid w:val="00C364F3"/>
    <w:rsid w:val="00C37647"/>
    <w:rsid w:val="00C401E2"/>
    <w:rsid w:val="00C70BF2"/>
    <w:rsid w:val="00CB1FB9"/>
    <w:rsid w:val="00CB274F"/>
    <w:rsid w:val="00CC1313"/>
    <w:rsid w:val="00CC62BF"/>
    <w:rsid w:val="00CE29BC"/>
    <w:rsid w:val="00CF6E05"/>
    <w:rsid w:val="00D402E3"/>
    <w:rsid w:val="00D410DB"/>
    <w:rsid w:val="00D47E48"/>
    <w:rsid w:val="00D53722"/>
    <w:rsid w:val="00D61C66"/>
    <w:rsid w:val="00D817CF"/>
    <w:rsid w:val="00D972FC"/>
    <w:rsid w:val="00DA1D2E"/>
    <w:rsid w:val="00DA776D"/>
    <w:rsid w:val="00DC0C5F"/>
    <w:rsid w:val="00DC35AD"/>
    <w:rsid w:val="00DC4941"/>
    <w:rsid w:val="00DD1487"/>
    <w:rsid w:val="00DD1B7F"/>
    <w:rsid w:val="00DD5AAA"/>
    <w:rsid w:val="00E21621"/>
    <w:rsid w:val="00E42978"/>
    <w:rsid w:val="00E44A16"/>
    <w:rsid w:val="00E52F10"/>
    <w:rsid w:val="00E62060"/>
    <w:rsid w:val="00E6688B"/>
    <w:rsid w:val="00E923C6"/>
    <w:rsid w:val="00E94C9B"/>
    <w:rsid w:val="00ED6960"/>
    <w:rsid w:val="00EF6156"/>
    <w:rsid w:val="00F14BE8"/>
    <w:rsid w:val="00F3540F"/>
    <w:rsid w:val="00F800D6"/>
    <w:rsid w:val="00F82035"/>
    <w:rsid w:val="00FA13F3"/>
    <w:rsid w:val="00FA29D1"/>
    <w:rsid w:val="00FC59BB"/>
    <w:rsid w:val="00FE3FF7"/>
    <w:rsid w:val="00FF7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D718C"/>
  <w15:docId w15:val="{96DAC5B3-FB88-4D46-A564-92AD267A1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7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4A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4A16"/>
    <w:rPr>
      <w:rFonts w:ascii="Tahoma" w:hAnsi="Tahoma" w:cs="Tahoma"/>
      <w:sz w:val="16"/>
      <w:szCs w:val="16"/>
    </w:rPr>
  </w:style>
  <w:style w:type="paragraph" w:styleId="Header">
    <w:name w:val="header"/>
    <w:basedOn w:val="Normal"/>
    <w:link w:val="HeaderChar"/>
    <w:uiPriority w:val="99"/>
    <w:unhideWhenUsed/>
    <w:rsid w:val="00303D59"/>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303D59"/>
  </w:style>
  <w:style w:type="paragraph" w:styleId="Footer">
    <w:name w:val="footer"/>
    <w:basedOn w:val="Normal"/>
    <w:link w:val="FooterChar"/>
    <w:uiPriority w:val="99"/>
    <w:unhideWhenUsed/>
    <w:rsid w:val="00303D59"/>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303D59"/>
  </w:style>
  <w:style w:type="paragraph" w:customStyle="1" w:styleId="BasicParagraph">
    <w:name w:val="[Basic Paragraph]"/>
    <w:basedOn w:val="Normal"/>
    <w:uiPriority w:val="99"/>
    <w:rsid w:val="00EF6156"/>
    <w:pPr>
      <w:autoSpaceDE w:val="0"/>
      <w:autoSpaceDN w:val="0"/>
      <w:adjustRightInd w:val="0"/>
      <w:spacing w:line="288" w:lineRule="auto"/>
      <w:textAlignment w:val="center"/>
    </w:pPr>
    <w:rPr>
      <w:rFonts w:ascii="Minion Pro" w:eastAsiaTheme="minorHAnsi" w:hAnsi="Minion Pro" w:cs="Minion Pro"/>
      <w:color w:val="000000"/>
    </w:rPr>
  </w:style>
  <w:style w:type="paragraph" w:styleId="ListParagraph">
    <w:name w:val="List Paragraph"/>
    <w:basedOn w:val="Normal"/>
    <w:uiPriority w:val="34"/>
    <w:qFormat/>
    <w:rsid w:val="00A8544E"/>
    <w:pPr>
      <w:ind w:left="720"/>
      <w:contextualSpacing/>
    </w:pPr>
    <w:rPr>
      <w:rFonts w:eastAsiaTheme="minorHAnsi"/>
    </w:rPr>
  </w:style>
  <w:style w:type="table" w:styleId="TableGrid">
    <w:name w:val="Table Grid"/>
    <w:basedOn w:val="TableNormal"/>
    <w:rsid w:val="00DD1B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9A6"/>
    <w:rPr>
      <w:color w:val="0000FF" w:themeColor="hyperlink"/>
      <w:u w:val="single"/>
    </w:rPr>
  </w:style>
  <w:style w:type="paragraph" w:styleId="Caption">
    <w:name w:val="caption"/>
    <w:basedOn w:val="Normal"/>
    <w:next w:val="Normal"/>
    <w:uiPriority w:val="35"/>
    <w:unhideWhenUsed/>
    <w:qFormat/>
    <w:rsid w:val="00B035E1"/>
    <w:pPr>
      <w:spacing w:after="200"/>
    </w:pPr>
    <w:rPr>
      <w:rFonts w:eastAsiaTheme="minorHAnsi"/>
      <w:b/>
      <w:bCs/>
      <w:color w:val="4F81BD" w:themeColor="accent1"/>
      <w:sz w:val="18"/>
      <w:szCs w:val="18"/>
    </w:rPr>
  </w:style>
  <w:style w:type="table" w:customStyle="1" w:styleId="TableGrid1">
    <w:name w:val="Table Grid1"/>
    <w:basedOn w:val="TableNormal"/>
    <w:next w:val="TableGrid"/>
    <w:uiPriority w:val="39"/>
    <w:rsid w:val="00DC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6E6CAD"/>
    <w:rPr>
      <w:rFonts w:ascii="Arial" w:hAnsi="Arial"/>
      <w:i/>
      <w:iCs/>
      <w:sz w:val="20"/>
    </w:rPr>
  </w:style>
  <w:style w:type="paragraph" w:customStyle="1" w:styleId="PAParaText">
    <w:name w:val="PA_ParaText"/>
    <w:basedOn w:val="Normal"/>
    <w:rsid w:val="006E6CAD"/>
    <w:pPr>
      <w:spacing w:after="120"/>
      <w:jc w:val="both"/>
    </w:pPr>
    <w:rPr>
      <w:rFonts w:ascii="Arial" w:eastAsia="SimSun" w:hAnsi="Arial"/>
      <w:sz w:val="20"/>
      <w:szCs w:val="20"/>
      <w:lang w:eastAsia="zh-CN"/>
    </w:rPr>
  </w:style>
  <w:style w:type="paragraph" w:customStyle="1" w:styleId="PACellText">
    <w:name w:val="PA_CellText"/>
    <w:basedOn w:val="PAParaText"/>
    <w:rsid w:val="006E6CAD"/>
    <w:pPr>
      <w:spacing w:after="0"/>
      <w:jc w:val="left"/>
    </w:pPr>
  </w:style>
  <w:style w:type="character" w:customStyle="1" w:styleId="PPCRefFASBASC450">
    <w:name w:val="PPCRef_FASB_ASC_450"/>
    <w:rsid w:val="006E6CAD"/>
    <w:rPr>
      <w:color w:val="0000FF"/>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661401">
      <w:bodyDiv w:val="1"/>
      <w:marLeft w:val="0"/>
      <w:marRight w:val="0"/>
      <w:marTop w:val="0"/>
      <w:marBottom w:val="0"/>
      <w:divBdr>
        <w:top w:val="none" w:sz="0" w:space="0" w:color="auto"/>
        <w:left w:val="none" w:sz="0" w:space="0" w:color="auto"/>
        <w:bottom w:val="none" w:sz="0" w:space="0" w:color="auto"/>
        <w:right w:val="none" w:sz="0" w:space="0" w:color="auto"/>
      </w:divBdr>
    </w:div>
    <w:div w:id="172496797">
      <w:bodyDiv w:val="1"/>
      <w:marLeft w:val="0"/>
      <w:marRight w:val="0"/>
      <w:marTop w:val="0"/>
      <w:marBottom w:val="0"/>
      <w:divBdr>
        <w:top w:val="none" w:sz="0" w:space="0" w:color="auto"/>
        <w:left w:val="none" w:sz="0" w:space="0" w:color="auto"/>
        <w:bottom w:val="none" w:sz="0" w:space="0" w:color="auto"/>
        <w:right w:val="none" w:sz="0" w:space="0" w:color="auto"/>
      </w:divBdr>
    </w:div>
    <w:div w:id="286854957">
      <w:bodyDiv w:val="1"/>
      <w:marLeft w:val="0"/>
      <w:marRight w:val="0"/>
      <w:marTop w:val="0"/>
      <w:marBottom w:val="0"/>
      <w:divBdr>
        <w:top w:val="none" w:sz="0" w:space="0" w:color="auto"/>
        <w:left w:val="none" w:sz="0" w:space="0" w:color="auto"/>
        <w:bottom w:val="none" w:sz="0" w:space="0" w:color="auto"/>
        <w:right w:val="none" w:sz="0" w:space="0" w:color="auto"/>
      </w:divBdr>
    </w:div>
    <w:div w:id="376783932">
      <w:bodyDiv w:val="1"/>
      <w:marLeft w:val="0"/>
      <w:marRight w:val="0"/>
      <w:marTop w:val="0"/>
      <w:marBottom w:val="0"/>
      <w:divBdr>
        <w:top w:val="none" w:sz="0" w:space="0" w:color="auto"/>
        <w:left w:val="none" w:sz="0" w:space="0" w:color="auto"/>
        <w:bottom w:val="none" w:sz="0" w:space="0" w:color="auto"/>
        <w:right w:val="none" w:sz="0" w:space="0" w:color="auto"/>
      </w:divBdr>
    </w:div>
    <w:div w:id="935558556">
      <w:bodyDiv w:val="1"/>
      <w:marLeft w:val="0"/>
      <w:marRight w:val="0"/>
      <w:marTop w:val="0"/>
      <w:marBottom w:val="0"/>
      <w:divBdr>
        <w:top w:val="none" w:sz="0" w:space="0" w:color="auto"/>
        <w:left w:val="none" w:sz="0" w:space="0" w:color="auto"/>
        <w:bottom w:val="none" w:sz="0" w:space="0" w:color="auto"/>
        <w:right w:val="none" w:sz="0" w:space="0" w:color="auto"/>
      </w:divBdr>
    </w:div>
    <w:div w:id="1373726941">
      <w:bodyDiv w:val="1"/>
      <w:marLeft w:val="0"/>
      <w:marRight w:val="0"/>
      <w:marTop w:val="0"/>
      <w:marBottom w:val="0"/>
      <w:divBdr>
        <w:top w:val="none" w:sz="0" w:space="0" w:color="auto"/>
        <w:left w:val="none" w:sz="0" w:space="0" w:color="auto"/>
        <w:bottom w:val="none" w:sz="0" w:space="0" w:color="auto"/>
        <w:right w:val="none" w:sz="0" w:space="0" w:color="auto"/>
      </w:divBdr>
    </w:div>
    <w:div w:id="1495491591">
      <w:bodyDiv w:val="1"/>
      <w:marLeft w:val="0"/>
      <w:marRight w:val="0"/>
      <w:marTop w:val="0"/>
      <w:marBottom w:val="0"/>
      <w:divBdr>
        <w:top w:val="none" w:sz="0" w:space="0" w:color="auto"/>
        <w:left w:val="none" w:sz="0" w:space="0" w:color="auto"/>
        <w:bottom w:val="none" w:sz="0" w:space="0" w:color="auto"/>
        <w:right w:val="none" w:sz="0" w:space="0" w:color="auto"/>
      </w:divBdr>
    </w:div>
    <w:div w:id="1570574816">
      <w:bodyDiv w:val="1"/>
      <w:marLeft w:val="0"/>
      <w:marRight w:val="0"/>
      <w:marTop w:val="0"/>
      <w:marBottom w:val="0"/>
      <w:divBdr>
        <w:top w:val="none" w:sz="0" w:space="0" w:color="auto"/>
        <w:left w:val="none" w:sz="0" w:space="0" w:color="auto"/>
        <w:bottom w:val="none" w:sz="0" w:space="0" w:color="auto"/>
        <w:right w:val="none" w:sz="0" w:space="0" w:color="auto"/>
      </w:divBdr>
    </w:div>
    <w:div w:id="1664163824">
      <w:bodyDiv w:val="1"/>
      <w:marLeft w:val="0"/>
      <w:marRight w:val="0"/>
      <w:marTop w:val="0"/>
      <w:marBottom w:val="0"/>
      <w:divBdr>
        <w:top w:val="none" w:sz="0" w:space="0" w:color="auto"/>
        <w:left w:val="none" w:sz="0" w:space="0" w:color="auto"/>
        <w:bottom w:val="none" w:sz="0" w:space="0" w:color="auto"/>
        <w:right w:val="none" w:sz="0" w:space="0" w:color="auto"/>
      </w:divBdr>
    </w:div>
    <w:div w:id="1853496492">
      <w:bodyDiv w:val="1"/>
      <w:marLeft w:val="0"/>
      <w:marRight w:val="0"/>
      <w:marTop w:val="0"/>
      <w:marBottom w:val="0"/>
      <w:divBdr>
        <w:top w:val="none" w:sz="0" w:space="0" w:color="auto"/>
        <w:left w:val="none" w:sz="0" w:space="0" w:color="auto"/>
        <w:bottom w:val="none" w:sz="0" w:space="0" w:color="auto"/>
        <w:right w:val="none" w:sz="0" w:space="0" w:color="auto"/>
      </w:divBdr>
    </w:div>
    <w:div w:id="1933465899">
      <w:bodyDiv w:val="1"/>
      <w:marLeft w:val="0"/>
      <w:marRight w:val="0"/>
      <w:marTop w:val="0"/>
      <w:marBottom w:val="0"/>
      <w:divBdr>
        <w:top w:val="none" w:sz="0" w:space="0" w:color="auto"/>
        <w:left w:val="none" w:sz="0" w:space="0" w:color="auto"/>
        <w:bottom w:val="none" w:sz="0" w:space="0" w:color="auto"/>
        <w:right w:val="none" w:sz="0" w:space="0" w:color="auto"/>
      </w:divBdr>
    </w:div>
    <w:div w:id="20518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TAGD.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591568-1aff-4c19-a435-b3a561cba6c2">
      <Terms xmlns="http://schemas.microsoft.com/office/infopath/2007/PartnerControls"/>
    </lcf76f155ced4ddcb4097134ff3c332f>
    <TaxCatchAll xmlns="252b6cb5-52be-43cf-93af-1ea00a92248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347BEC05633394E9D4EE48D8AE38E6F" ma:contentTypeVersion="16" ma:contentTypeDescription="Create a new document." ma:contentTypeScope="" ma:versionID="84a6e6f9f8a970466f5eff29c928af2d">
  <xsd:schema xmlns:xsd="http://www.w3.org/2001/XMLSchema" xmlns:xs="http://www.w3.org/2001/XMLSchema" xmlns:p="http://schemas.microsoft.com/office/2006/metadata/properties" xmlns:ns2="2c591568-1aff-4c19-a435-b3a561cba6c2" xmlns:ns3="252b6cb5-52be-43cf-93af-1ea00a92248a" targetNamespace="http://schemas.microsoft.com/office/2006/metadata/properties" ma:root="true" ma:fieldsID="01515c4c6e4d5c425fb926d90339a5d2" ns2:_="" ns3:_="">
    <xsd:import namespace="2c591568-1aff-4c19-a435-b3a561cba6c2"/>
    <xsd:import namespace="252b6cb5-52be-43cf-93af-1ea00a9224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91568-1aff-4c19-a435-b3a561cba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0aaa76-ae13-4c3e-a72c-a35a0acbf1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2b6cb5-52be-43cf-93af-1ea00a92248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3ffeb7e-2e68-4f11-8a2e-858e004e103c}" ma:internalName="TaxCatchAll" ma:showField="CatchAllData" ma:web="252b6cb5-52be-43cf-93af-1ea00a9224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7A50DB-4ADF-44F2-A3F2-CE979F6612C9}">
  <ds:schemaRefs>
    <ds:schemaRef ds:uri="http://schemas.microsoft.com/office/2006/metadata/properties"/>
    <ds:schemaRef ds:uri="http://www.w3.org/2000/xmlns/"/>
    <ds:schemaRef ds:uri="2c591568-1aff-4c19-a435-b3a561cba6c2"/>
    <ds:schemaRef ds:uri="http://schemas.microsoft.com/office/infopath/2007/PartnerControls"/>
    <ds:schemaRef ds:uri="252b6cb5-52be-43cf-93af-1ea00a92248a"/>
    <ds:schemaRef ds:uri="http://www.w3.org/2001/XMLSchema-instance"/>
  </ds:schemaRefs>
</ds:datastoreItem>
</file>

<file path=customXml/itemProps2.xml><?xml version="1.0" encoding="utf-8"?>
<ds:datastoreItem xmlns:ds="http://schemas.openxmlformats.org/officeDocument/2006/customXml" ds:itemID="{58BFC1B7-9476-42D8-A0F1-5C5E595F1E9E}">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88478E1A-4626-47BF-95AA-D966CC3A731E}">
  <ds:schemaRefs>
    <ds:schemaRef ds:uri="http://schemas.microsoft.com/office/2006/metadata/contentType"/>
    <ds:schemaRef ds:uri="http://schemas.microsoft.com/office/2006/metadata/properties/metaAttributes"/>
    <ds:schemaRef ds:uri="http://www.w3.org/2000/xmlns/"/>
    <ds:schemaRef ds:uri="http://www.w3.org/2001/XMLSchema"/>
    <ds:schemaRef ds:uri="2c591568-1aff-4c19-a435-b3a561cba6c2"/>
    <ds:schemaRef ds:uri="252b6cb5-52be-43cf-93af-1ea00a92248a"/>
  </ds:schemaRefs>
</ds:datastoreItem>
</file>

<file path=customXml/itemProps4.xml><?xml version="1.0" encoding="utf-8"?>
<ds:datastoreItem xmlns:ds="http://schemas.openxmlformats.org/officeDocument/2006/customXml" ds:itemID="{2CC3F21A-C10B-4FB0-B9DD-175FD6030C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Thompson</dc:creator>
  <cp:lastModifiedBy>David Mintz</cp:lastModifiedBy>
  <cp:revision>2</cp:revision>
  <cp:lastPrinted>2018-12-17T16:31:00Z</cp:lastPrinted>
  <dcterms:created xsi:type="dcterms:W3CDTF">2025-01-07T05:49:00Z</dcterms:created>
  <dcterms:modified xsi:type="dcterms:W3CDTF">2025-01-07T05:49:00Z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0x0101004347BEC05633394E9D4EE48D8AE38E6F</vt:lpwstr>
  </property>
  <property fmtid="{D5CDD505-2E9C-101B-9397-08002B2CF9AE}" pid="3" name="Order">
    <vt:r8>697500</vt:r8>
  </property>
</Properties>
</file>