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7FA9B" w14:textId="77777777" w:rsidR="00654509" w:rsidRPr="00654509" w:rsidRDefault="00654509" w:rsidP="00654509">
      <w:pPr>
        <w:rPr>
          <w:sz w:val="22"/>
          <w:szCs w:val="22"/>
        </w:rPr>
      </w:pPr>
    </w:p>
    <w:p w14:paraId="39CC1005" w14:textId="7C01D8EF" w:rsidR="00D972FC" w:rsidRPr="00D972FC" w:rsidRDefault="00CB1FB9" w:rsidP="00D972FC">
      <w:pPr>
        <w:rPr>
          <w:sz w:val="22"/>
          <w:szCs w:val="22"/>
        </w:rPr>
      </w:pPr>
      <w:r>
        <w:rPr>
          <w:sz w:val="22"/>
          <w:szCs w:val="22"/>
        </w:rPr>
        <w:t>January 1</w:t>
      </w:r>
      <w:r w:rsidR="00672D4D">
        <w:rPr>
          <w:sz w:val="22"/>
          <w:szCs w:val="22"/>
        </w:rPr>
        <w:t>5</w:t>
      </w:r>
      <w:r>
        <w:rPr>
          <w:sz w:val="22"/>
          <w:szCs w:val="22"/>
        </w:rPr>
        <w:t>, 2024</w:t>
      </w:r>
    </w:p>
    <w:p w14:paraId="2388A98F" w14:textId="77777777" w:rsidR="002E6040" w:rsidRDefault="002E6040" w:rsidP="00D972FC">
      <w:pPr>
        <w:rPr>
          <w:sz w:val="22"/>
          <w:szCs w:val="22"/>
        </w:rPr>
      </w:pPr>
    </w:p>
    <w:p w14:paraId="648F6A41" w14:textId="3717B507" w:rsidR="00D972FC" w:rsidRPr="00D972FC" w:rsidRDefault="00D972FC" w:rsidP="00D972FC">
      <w:pPr>
        <w:rPr>
          <w:sz w:val="22"/>
          <w:szCs w:val="22"/>
        </w:rPr>
      </w:pPr>
      <w:r w:rsidRPr="00D972FC">
        <w:rPr>
          <w:sz w:val="22"/>
          <w:szCs w:val="22"/>
        </w:rPr>
        <w:t>Ms. Casey Nichols</w:t>
      </w:r>
    </w:p>
    <w:p w14:paraId="6CEC22AB" w14:textId="77777777" w:rsidR="00D972FC" w:rsidRPr="00D972FC" w:rsidRDefault="00D972FC" w:rsidP="00D972FC">
      <w:pPr>
        <w:rPr>
          <w:sz w:val="22"/>
          <w:szCs w:val="22"/>
        </w:rPr>
      </w:pPr>
      <w:r w:rsidRPr="00D972FC">
        <w:rPr>
          <w:sz w:val="22"/>
          <w:szCs w:val="22"/>
        </w:rPr>
        <w:t xml:space="preserve">Executive Director </w:t>
      </w:r>
    </w:p>
    <w:p w14:paraId="39FAD8E8" w14:textId="77777777" w:rsidR="00D972FC" w:rsidRPr="00D972FC" w:rsidRDefault="00D972FC" w:rsidP="00D972FC">
      <w:pPr>
        <w:rPr>
          <w:sz w:val="22"/>
          <w:szCs w:val="22"/>
        </w:rPr>
      </w:pPr>
      <w:r w:rsidRPr="00D972FC">
        <w:rPr>
          <w:sz w:val="22"/>
          <w:szCs w:val="22"/>
        </w:rPr>
        <w:t xml:space="preserve">Texas State Board of Dental Examiners </w:t>
      </w:r>
    </w:p>
    <w:p w14:paraId="7CFAE773" w14:textId="07A681CA" w:rsidR="00D972FC" w:rsidRDefault="00571DE4" w:rsidP="00D972FC">
      <w:pPr>
        <w:rPr>
          <w:sz w:val="22"/>
          <w:szCs w:val="22"/>
        </w:rPr>
      </w:pPr>
      <w:r>
        <w:rPr>
          <w:sz w:val="22"/>
          <w:szCs w:val="22"/>
        </w:rPr>
        <w:t>1801 Congress, Suite 8.600</w:t>
      </w:r>
    </w:p>
    <w:p w14:paraId="066483B0" w14:textId="03FB30F6" w:rsidR="00571DE4" w:rsidRDefault="00571DE4" w:rsidP="00D972FC">
      <w:pPr>
        <w:rPr>
          <w:sz w:val="22"/>
          <w:szCs w:val="22"/>
        </w:rPr>
      </w:pPr>
      <w:r>
        <w:rPr>
          <w:sz w:val="22"/>
          <w:szCs w:val="22"/>
        </w:rPr>
        <w:t>Austin, TX. 78701</w:t>
      </w:r>
    </w:p>
    <w:p w14:paraId="3A0EF1F4" w14:textId="77777777" w:rsidR="00571DE4" w:rsidRDefault="00571DE4" w:rsidP="00D972FC">
      <w:pPr>
        <w:rPr>
          <w:sz w:val="22"/>
          <w:szCs w:val="22"/>
        </w:rPr>
      </w:pPr>
    </w:p>
    <w:p w14:paraId="67600D94" w14:textId="2D8907BF" w:rsidR="00D972FC" w:rsidRPr="00D972FC" w:rsidRDefault="00D972FC" w:rsidP="00D972FC">
      <w:pPr>
        <w:rPr>
          <w:sz w:val="22"/>
          <w:szCs w:val="22"/>
        </w:rPr>
      </w:pPr>
      <w:r w:rsidRPr="00D972FC">
        <w:rPr>
          <w:sz w:val="22"/>
          <w:szCs w:val="22"/>
        </w:rPr>
        <w:t>Dear Ms. Nichols:</w:t>
      </w:r>
    </w:p>
    <w:p w14:paraId="28B0DA66" w14:textId="77777777" w:rsidR="00D972FC" w:rsidRDefault="00D972FC" w:rsidP="00D972FC">
      <w:pPr>
        <w:rPr>
          <w:sz w:val="22"/>
          <w:szCs w:val="22"/>
        </w:rPr>
      </w:pPr>
    </w:p>
    <w:p w14:paraId="6D52E5D7" w14:textId="302FC548" w:rsidR="00CB1FB9" w:rsidRDefault="00D972FC" w:rsidP="00D972FC">
      <w:pPr>
        <w:rPr>
          <w:sz w:val="22"/>
          <w:szCs w:val="22"/>
        </w:rPr>
      </w:pPr>
      <w:r w:rsidRPr="00D972FC">
        <w:rPr>
          <w:sz w:val="22"/>
          <w:szCs w:val="22"/>
        </w:rPr>
        <w:t xml:space="preserve">I am writing </w:t>
      </w:r>
      <w:r w:rsidR="00CB1FB9">
        <w:rPr>
          <w:sz w:val="22"/>
          <w:szCs w:val="22"/>
        </w:rPr>
        <w:t xml:space="preserve">on behalf of the Texas Academy of General Dentistry (Texas AGD) to submit comments on the proposed </w:t>
      </w:r>
      <w:r w:rsidR="00CB1FB9" w:rsidRPr="00CB1FB9">
        <w:rPr>
          <w:sz w:val="22"/>
          <w:szCs w:val="22"/>
        </w:rPr>
        <w:t>new rule 22 TAC §115.10, concerning the administration of local infiltration anesthesia by a dental hygienist</w:t>
      </w:r>
      <w:r w:rsidR="00CB1FB9">
        <w:rPr>
          <w:sz w:val="22"/>
          <w:szCs w:val="22"/>
        </w:rPr>
        <w:t xml:space="preserve">, which was published in the December 15, </w:t>
      </w:r>
      <w:r w:rsidR="004D1B19">
        <w:rPr>
          <w:sz w:val="22"/>
          <w:szCs w:val="22"/>
        </w:rPr>
        <w:t>2023,</w:t>
      </w:r>
      <w:r w:rsidR="00CB1FB9">
        <w:rPr>
          <w:sz w:val="22"/>
          <w:szCs w:val="22"/>
        </w:rPr>
        <w:t xml:space="preserve"> edition of the </w:t>
      </w:r>
      <w:r w:rsidR="00CB1FB9" w:rsidRPr="00CB1FB9">
        <w:rPr>
          <w:i/>
          <w:iCs/>
          <w:sz w:val="22"/>
          <w:szCs w:val="22"/>
        </w:rPr>
        <w:t>Texas Register</w:t>
      </w:r>
      <w:r w:rsidR="00CB1FB9">
        <w:rPr>
          <w:sz w:val="22"/>
          <w:szCs w:val="22"/>
        </w:rPr>
        <w:t xml:space="preserve">.  </w:t>
      </w:r>
    </w:p>
    <w:p w14:paraId="4AF30A5B" w14:textId="77777777" w:rsidR="00D972FC" w:rsidRDefault="00D972FC" w:rsidP="00D972FC">
      <w:pPr>
        <w:rPr>
          <w:sz w:val="22"/>
          <w:szCs w:val="22"/>
        </w:rPr>
      </w:pPr>
    </w:p>
    <w:p w14:paraId="57DCE3BE" w14:textId="211E6957" w:rsidR="00CB1FB9" w:rsidRDefault="00D972FC" w:rsidP="00D972FC">
      <w:pPr>
        <w:rPr>
          <w:sz w:val="22"/>
          <w:szCs w:val="22"/>
        </w:rPr>
      </w:pPr>
      <w:r w:rsidRPr="00D972FC">
        <w:rPr>
          <w:sz w:val="22"/>
          <w:szCs w:val="22"/>
        </w:rPr>
        <w:t>The Texas AGD Board of Directors</w:t>
      </w:r>
      <w:r w:rsidR="00CB1FB9">
        <w:rPr>
          <w:sz w:val="22"/>
          <w:szCs w:val="22"/>
        </w:rPr>
        <w:t xml:space="preserve"> generally supports the proposed rule</w:t>
      </w:r>
      <w:r w:rsidR="008F09A1">
        <w:rPr>
          <w:sz w:val="22"/>
          <w:szCs w:val="22"/>
        </w:rPr>
        <w:t>;</w:t>
      </w:r>
      <w:r w:rsidR="00CB1FB9">
        <w:rPr>
          <w:sz w:val="22"/>
          <w:szCs w:val="22"/>
        </w:rPr>
        <w:t xml:space="preserve"> however</w:t>
      </w:r>
      <w:r w:rsidR="008F09A1">
        <w:rPr>
          <w:sz w:val="22"/>
          <w:szCs w:val="22"/>
        </w:rPr>
        <w:t>,</w:t>
      </w:r>
      <w:r w:rsidR="00CB1FB9">
        <w:rPr>
          <w:sz w:val="22"/>
          <w:szCs w:val="22"/>
        </w:rPr>
        <w:t xml:space="preserve"> we would suggest modifying </w:t>
      </w:r>
      <w:r w:rsidR="008F09A1">
        <w:rPr>
          <w:sz w:val="22"/>
          <w:szCs w:val="22"/>
        </w:rPr>
        <w:t xml:space="preserve">the </w:t>
      </w:r>
      <w:r w:rsidR="00CB1FB9">
        <w:rPr>
          <w:sz w:val="22"/>
          <w:szCs w:val="22"/>
        </w:rPr>
        <w:t>continuing education requirement</w:t>
      </w:r>
      <w:r w:rsidR="00672D4D">
        <w:rPr>
          <w:sz w:val="22"/>
          <w:szCs w:val="22"/>
        </w:rPr>
        <w:t xml:space="preserve">.  After review, we believe </w:t>
      </w:r>
      <w:r w:rsidR="00CB1FB9">
        <w:rPr>
          <w:sz w:val="22"/>
          <w:szCs w:val="22"/>
        </w:rPr>
        <w:t>requir</w:t>
      </w:r>
      <w:r w:rsidR="00672D4D">
        <w:rPr>
          <w:sz w:val="22"/>
          <w:szCs w:val="22"/>
        </w:rPr>
        <w:t xml:space="preserve">ing hygienists with a local anesthesia certificate to complete </w:t>
      </w:r>
      <w:r w:rsidR="004D1B19">
        <w:rPr>
          <w:sz w:val="22"/>
          <w:szCs w:val="22"/>
        </w:rPr>
        <w:t>at least 2</w:t>
      </w:r>
      <w:r w:rsidR="00CB1FB9">
        <w:rPr>
          <w:sz w:val="22"/>
          <w:szCs w:val="22"/>
        </w:rPr>
        <w:t xml:space="preserve"> hours of continuing education in the administration of local anesthesia or related medical emergenc</w:t>
      </w:r>
      <w:r w:rsidR="008F09A1">
        <w:rPr>
          <w:sz w:val="22"/>
          <w:szCs w:val="22"/>
        </w:rPr>
        <w:t>ies.  Two (2) hours</w:t>
      </w:r>
      <w:r w:rsidR="00CB1FB9">
        <w:rPr>
          <w:sz w:val="22"/>
          <w:szCs w:val="22"/>
        </w:rPr>
        <w:t xml:space="preserve"> </w:t>
      </w:r>
      <w:r w:rsidR="00672D4D">
        <w:rPr>
          <w:sz w:val="22"/>
          <w:szCs w:val="22"/>
        </w:rPr>
        <w:t>every two years</w:t>
      </w:r>
      <w:r w:rsidR="00CB1FB9">
        <w:rPr>
          <w:sz w:val="22"/>
          <w:szCs w:val="22"/>
        </w:rPr>
        <w:t>, rather than 6 hours</w:t>
      </w:r>
      <w:r w:rsidR="00672D4D">
        <w:rPr>
          <w:sz w:val="22"/>
          <w:szCs w:val="22"/>
        </w:rPr>
        <w:t>, is adequate.</w:t>
      </w:r>
      <w:r w:rsidR="00CB1FB9">
        <w:rPr>
          <w:sz w:val="22"/>
          <w:szCs w:val="22"/>
        </w:rPr>
        <w:t xml:space="preserve">  </w:t>
      </w:r>
    </w:p>
    <w:p w14:paraId="0A0881F3" w14:textId="77777777" w:rsidR="00CB1FB9" w:rsidRDefault="00CB1FB9" w:rsidP="00D972FC">
      <w:pPr>
        <w:rPr>
          <w:sz w:val="22"/>
          <w:szCs w:val="22"/>
        </w:rPr>
      </w:pPr>
    </w:p>
    <w:p w14:paraId="7160A6AD" w14:textId="2AD56ADA" w:rsidR="00D972FC" w:rsidRDefault="00CB1FB9" w:rsidP="00D972FC">
      <w:pPr>
        <w:rPr>
          <w:sz w:val="22"/>
          <w:szCs w:val="22"/>
        </w:rPr>
      </w:pPr>
      <w:r>
        <w:rPr>
          <w:sz w:val="22"/>
          <w:szCs w:val="22"/>
        </w:rPr>
        <w:t xml:space="preserve">As amended, new </w:t>
      </w:r>
      <w:r w:rsidRPr="00CB1FB9">
        <w:rPr>
          <w:sz w:val="22"/>
          <w:szCs w:val="22"/>
        </w:rPr>
        <w:t>22 TAC §115.10</w:t>
      </w:r>
      <w:r>
        <w:rPr>
          <w:sz w:val="22"/>
          <w:szCs w:val="22"/>
        </w:rPr>
        <w:t xml:space="preserve"> (f) would read as follows</w:t>
      </w:r>
      <w:r w:rsidR="00D972FC" w:rsidRPr="00D972FC">
        <w:rPr>
          <w:sz w:val="22"/>
          <w:szCs w:val="22"/>
        </w:rPr>
        <w:t xml:space="preserve">: </w:t>
      </w:r>
    </w:p>
    <w:p w14:paraId="56936C49" w14:textId="77777777" w:rsidR="00CB1FB9" w:rsidRDefault="00CB1FB9" w:rsidP="00CB1FB9">
      <w:pPr>
        <w:rPr>
          <w:sz w:val="22"/>
          <w:szCs w:val="22"/>
          <w:u w:val="single"/>
        </w:rPr>
      </w:pPr>
    </w:p>
    <w:p w14:paraId="0EED3DC7" w14:textId="261A35EC" w:rsidR="00CB1FB9" w:rsidRPr="00CB1FB9" w:rsidRDefault="00CB1FB9" w:rsidP="00CB1FB9">
      <w:pPr>
        <w:ind w:left="720"/>
        <w:rPr>
          <w:i/>
          <w:iCs/>
          <w:sz w:val="22"/>
          <w:szCs w:val="22"/>
        </w:rPr>
      </w:pPr>
      <w:r w:rsidRPr="00CB1FB9">
        <w:rPr>
          <w:i/>
          <w:iCs/>
          <w:sz w:val="22"/>
          <w:szCs w:val="22"/>
        </w:rPr>
        <w:t>(f) Continuing Education. </w:t>
      </w:r>
    </w:p>
    <w:p w14:paraId="3E67BC08" w14:textId="3639CB2A" w:rsidR="00CB1FB9" w:rsidRPr="00CB1FB9" w:rsidRDefault="00CB1FB9" w:rsidP="00CB1FB9">
      <w:pPr>
        <w:ind w:left="720"/>
        <w:rPr>
          <w:i/>
          <w:iCs/>
          <w:sz w:val="22"/>
          <w:szCs w:val="22"/>
        </w:rPr>
      </w:pPr>
      <w:r w:rsidRPr="00CB1FB9">
        <w:rPr>
          <w:i/>
          <w:iCs/>
          <w:sz w:val="22"/>
          <w:szCs w:val="22"/>
        </w:rPr>
        <w:t xml:space="preserve">(1) A dental hygienist with a local infiltration anesthesia certificate must complete no less than </w:t>
      </w:r>
      <w:r w:rsidRPr="00CB1FB9">
        <w:rPr>
          <w:i/>
          <w:iCs/>
          <w:strike/>
          <w:sz w:val="22"/>
          <w:szCs w:val="22"/>
        </w:rPr>
        <w:t>6</w:t>
      </w:r>
      <w:r w:rsidRPr="00CB1FB9">
        <w:rPr>
          <w:i/>
          <w:iCs/>
          <w:sz w:val="22"/>
          <w:szCs w:val="22"/>
        </w:rPr>
        <w:t xml:space="preserve"> </w:t>
      </w:r>
      <w:r w:rsidRPr="00CB1FB9">
        <w:rPr>
          <w:b/>
          <w:bCs/>
          <w:i/>
          <w:iCs/>
          <w:sz w:val="22"/>
          <w:szCs w:val="22"/>
          <w:u w:val="single"/>
        </w:rPr>
        <w:t>2</w:t>
      </w:r>
      <w:r w:rsidRPr="00CB1FB9">
        <w:rPr>
          <w:b/>
          <w:bCs/>
          <w:i/>
          <w:iCs/>
          <w:sz w:val="22"/>
          <w:szCs w:val="22"/>
        </w:rPr>
        <w:t xml:space="preserve"> </w:t>
      </w:r>
      <w:r w:rsidRPr="00CB1FB9">
        <w:rPr>
          <w:i/>
          <w:iCs/>
          <w:sz w:val="22"/>
          <w:szCs w:val="22"/>
        </w:rPr>
        <w:t xml:space="preserve">hours of continuing education every two years in the administration of, or medical emergencies associated with, local anesthesia specific to the procedures to be performed by the dental hygienist administering the local anesthesia. These </w:t>
      </w:r>
      <w:r w:rsidRPr="00CB1FB9">
        <w:rPr>
          <w:i/>
          <w:iCs/>
          <w:strike/>
          <w:sz w:val="22"/>
          <w:szCs w:val="22"/>
        </w:rPr>
        <w:t>6</w:t>
      </w:r>
      <w:r w:rsidRPr="00CB1FB9">
        <w:rPr>
          <w:i/>
          <w:iCs/>
          <w:sz w:val="22"/>
          <w:szCs w:val="22"/>
        </w:rPr>
        <w:t xml:space="preserve"> </w:t>
      </w:r>
      <w:r w:rsidRPr="00CB1FB9">
        <w:rPr>
          <w:b/>
          <w:bCs/>
          <w:i/>
          <w:iCs/>
          <w:sz w:val="22"/>
          <w:szCs w:val="22"/>
          <w:u w:val="single"/>
        </w:rPr>
        <w:t>2</w:t>
      </w:r>
      <w:r>
        <w:rPr>
          <w:i/>
          <w:iCs/>
          <w:sz w:val="22"/>
          <w:szCs w:val="22"/>
        </w:rPr>
        <w:t xml:space="preserve"> </w:t>
      </w:r>
      <w:r w:rsidRPr="00CB1FB9">
        <w:rPr>
          <w:i/>
          <w:iCs/>
          <w:sz w:val="22"/>
          <w:szCs w:val="22"/>
        </w:rPr>
        <w:t>hours of continuing education may be used to satisfy the technical or scientific requirements of §104.1 of this title (relating to Requirement). </w:t>
      </w:r>
    </w:p>
    <w:p w14:paraId="2CA55659" w14:textId="77777777" w:rsidR="00CB1FB9" w:rsidRPr="00CB1FB9" w:rsidRDefault="00CB1FB9" w:rsidP="00CB1FB9">
      <w:pPr>
        <w:ind w:left="720"/>
        <w:rPr>
          <w:i/>
          <w:iCs/>
          <w:sz w:val="22"/>
          <w:szCs w:val="22"/>
        </w:rPr>
      </w:pPr>
      <w:r w:rsidRPr="00CB1FB9">
        <w:rPr>
          <w:i/>
          <w:iCs/>
          <w:sz w:val="22"/>
          <w:szCs w:val="22"/>
        </w:rPr>
        <w:t>(2) The continuing education must be provided by an educational course provider recognized by the Board. </w:t>
      </w:r>
    </w:p>
    <w:p w14:paraId="76007DBB" w14:textId="77777777" w:rsidR="00CB1FB9" w:rsidRDefault="00CB1FB9" w:rsidP="00CB1FB9">
      <w:pPr>
        <w:ind w:left="720"/>
        <w:rPr>
          <w:i/>
          <w:iCs/>
          <w:sz w:val="22"/>
          <w:szCs w:val="22"/>
        </w:rPr>
      </w:pPr>
      <w:r w:rsidRPr="00CB1FB9">
        <w:rPr>
          <w:i/>
          <w:iCs/>
          <w:sz w:val="22"/>
          <w:szCs w:val="22"/>
        </w:rPr>
        <w:t>(3) Dental hygienists must maintain documentation of the satisfactory completion of the required continuing education courses.</w:t>
      </w:r>
    </w:p>
    <w:p w14:paraId="3B3A0EB1" w14:textId="77777777" w:rsidR="004D1B19" w:rsidRDefault="004D1B19" w:rsidP="00D972FC">
      <w:pPr>
        <w:rPr>
          <w:sz w:val="22"/>
          <w:szCs w:val="22"/>
        </w:rPr>
      </w:pPr>
    </w:p>
    <w:p w14:paraId="725A7EAD" w14:textId="791EABD0" w:rsidR="00D972FC" w:rsidRPr="004D1B19" w:rsidRDefault="00D972FC" w:rsidP="00D972FC">
      <w:pPr>
        <w:rPr>
          <w:i/>
          <w:iCs/>
          <w:sz w:val="22"/>
          <w:szCs w:val="22"/>
        </w:rPr>
      </w:pPr>
      <w:r w:rsidRPr="00D972FC">
        <w:rPr>
          <w:sz w:val="22"/>
          <w:szCs w:val="22"/>
        </w:rPr>
        <w:t xml:space="preserve">In </w:t>
      </w:r>
      <w:r w:rsidR="00672D4D">
        <w:rPr>
          <w:sz w:val="22"/>
          <w:szCs w:val="22"/>
        </w:rPr>
        <w:t>addition</w:t>
      </w:r>
      <w:r w:rsidRPr="00D972FC">
        <w:rPr>
          <w:sz w:val="22"/>
          <w:szCs w:val="22"/>
        </w:rPr>
        <w:t xml:space="preserve">, </w:t>
      </w:r>
      <w:r w:rsidR="004D1B19">
        <w:rPr>
          <w:sz w:val="22"/>
          <w:szCs w:val="22"/>
        </w:rPr>
        <w:t xml:space="preserve">I would like to reiterate the request in my letter dated October 30, 2023, </w:t>
      </w:r>
      <w:r w:rsidRPr="00D972FC">
        <w:rPr>
          <w:sz w:val="22"/>
          <w:szCs w:val="22"/>
        </w:rPr>
        <w:t xml:space="preserve">that </w:t>
      </w:r>
      <w:r w:rsidR="004D1B19">
        <w:rPr>
          <w:sz w:val="22"/>
          <w:szCs w:val="22"/>
        </w:rPr>
        <w:t xml:space="preserve">TSBDE </w:t>
      </w:r>
      <w:r w:rsidRPr="00D972FC">
        <w:rPr>
          <w:sz w:val="22"/>
          <w:szCs w:val="22"/>
        </w:rPr>
        <w:t xml:space="preserve">provide </w:t>
      </w:r>
      <w:r w:rsidR="004D1B19">
        <w:rPr>
          <w:sz w:val="22"/>
          <w:szCs w:val="22"/>
        </w:rPr>
        <w:t xml:space="preserve">clarification regarding the </w:t>
      </w:r>
      <w:r w:rsidRPr="00D972FC">
        <w:rPr>
          <w:sz w:val="22"/>
          <w:szCs w:val="22"/>
        </w:rPr>
        <w:t xml:space="preserve">requirement in HB 3824 that the supervising dentist must be "continuously aware of patient's physical status and well-being."  It is Texas AGD’s position that this language should be treated the same as the definition of “direct supervision” under </w:t>
      </w:r>
      <w:r w:rsidRPr="004D1B19">
        <w:rPr>
          <w:sz w:val="22"/>
          <w:szCs w:val="22"/>
        </w:rPr>
        <w:t>22 Tex. Admin. Code § 115.1</w:t>
      </w:r>
      <w:r w:rsidR="004D1B19">
        <w:rPr>
          <w:sz w:val="22"/>
          <w:szCs w:val="22"/>
        </w:rPr>
        <w:t>,</w:t>
      </w:r>
      <w:r w:rsidR="004D1B19" w:rsidRPr="004D1B19">
        <w:rPr>
          <w:sz w:val="22"/>
          <w:szCs w:val="22"/>
        </w:rPr>
        <w:t xml:space="preserve"> but </w:t>
      </w:r>
      <w:r w:rsidRPr="00D972FC">
        <w:rPr>
          <w:sz w:val="22"/>
          <w:szCs w:val="22"/>
        </w:rPr>
        <w:t xml:space="preserve">that a hygienist administering anesthesia </w:t>
      </w:r>
      <w:r w:rsidR="004D1B19">
        <w:rPr>
          <w:sz w:val="22"/>
          <w:szCs w:val="22"/>
        </w:rPr>
        <w:t xml:space="preserve">should be </w:t>
      </w:r>
      <w:r w:rsidRPr="00D972FC">
        <w:rPr>
          <w:sz w:val="22"/>
          <w:szCs w:val="22"/>
        </w:rPr>
        <w:t>required to make the dentist aware of any changes in the patient’s condition while undergoing a procedure.</w:t>
      </w:r>
    </w:p>
    <w:p w14:paraId="4E358779" w14:textId="487992DF" w:rsidR="00654509" w:rsidRPr="00654509" w:rsidRDefault="00654509" w:rsidP="00654509">
      <w:pPr>
        <w:rPr>
          <w:sz w:val="22"/>
          <w:szCs w:val="22"/>
        </w:rPr>
      </w:pPr>
    </w:p>
    <w:p w14:paraId="769B0C7D" w14:textId="2B9237D2" w:rsidR="00654509" w:rsidRPr="00654509" w:rsidRDefault="00654509" w:rsidP="00654509">
      <w:pPr>
        <w:rPr>
          <w:sz w:val="22"/>
          <w:szCs w:val="22"/>
        </w:rPr>
      </w:pPr>
      <w:r w:rsidRPr="00654509">
        <w:rPr>
          <w:sz w:val="22"/>
          <w:szCs w:val="22"/>
        </w:rPr>
        <w:t xml:space="preserve">Thank you for </w:t>
      </w:r>
      <w:r w:rsidR="00D972FC">
        <w:rPr>
          <w:sz w:val="22"/>
          <w:szCs w:val="22"/>
        </w:rPr>
        <w:t xml:space="preserve">your </w:t>
      </w:r>
      <w:r w:rsidRPr="00654509">
        <w:rPr>
          <w:sz w:val="22"/>
          <w:szCs w:val="22"/>
        </w:rPr>
        <w:t xml:space="preserve">consideration.   </w:t>
      </w:r>
    </w:p>
    <w:p w14:paraId="353B07F4" w14:textId="77777777" w:rsidR="00654509" w:rsidRPr="00654509" w:rsidRDefault="00654509" w:rsidP="00654509">
      <w:pPr>
        <w:rPr>
          <w:sz w:val="22"/>
          <w:szCs w:val="22"/>
        </w:rPr>
      </w:pPr>
    </w:p>
    <w:p w14:paraId="34ACEEE3" w14:textId="07E50D3B" w:rsidR="00654509" w:rsidRPr="00654509" w:rsidRDefault="004D1B19" w:rsidP="00654509">
      <w:pPr>
        <w:rPr>
          <w:sz w:val="22"/>
          <w:szCs w:val="22"/>
        </w:rPr>
      </w:pPr>
      <w:r>
        <w:rPr>
          <w:sz w:val="22"/>
          <w:szCs w:val="22"/>
        </w:rPr>
        <w:t>Sincerely</w:t>
      </w:r>
      <w:r w:rsidR="00654509" w:rsidRPr="00654509">
        <w:rPr>
          <w:sz w:val="22"/>
          <w:szCs w:val="22"/>
        </w:rPr>
        <w:t>,</w:t>
      </w:r>
    </w:p>
    <w:p w14:paraId="324B3D75" w14:textId="0E7A11F8" w:rsidR="004D1B19" w:rsidRPr="00654509" w:rsidRDefault="008F09A1" w:rsidP="00654509">
      <w:pPr>
        <w:rPr>
          <w:sz w:val="22"/>
          <w:szCs w:val="22"/>
        </w:rPr>
      </w:pPr>
      <w:r>
        <w:rPr>
          <w:noProof/>
        </w:rPr>
        <w:drawing>
          <wp:inline distT="0" distB="0" distL="0" distR="0" wp14:anchorId="53269388" wp14:editId="09F6A3F9">
            <wp:extent cx="868680" cy="504133"/>
            <wp:effectExtent l="0" t="0" r="7620" b="0"/>
            <wp:docPr id="1325900072" name="Picture 1" descr="A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00072" name="Picture 1" descr="A signature on a white surface&#10;&#10;Description automatically generated"/>
                    <pic:cNvPicPr/>
                  </pic:nvPicPr>
                  <pic:blipFill rotWithShape="1">
                    <a:blip r:embed="rId11"/>
                    <a:srcRect l="15000" t="24352" r="13778" b="26148"/>
                    <a:stretch/>
                  </pic:blipFill>
                  <pic:spPr bwMode="auto">
                    <a:xfrm>
                      <a:off x="0" y="0"/>
                      <a:ext cx="882465" cy="512133"/>
                    </a:xfrm>
                    <a:prstGeom prst="rect">
                      <a:avLst/>
                    </a:prstGeom>
                    <a:ln>
                      <a:noFill/>
                    </a:ln>
                    <a:extLst>
                      <a:ext uri="{53640926-AAD7-44D8-BBD7-CCE9431645EC}">
                        <a14:shadowObscured xmlns:a14="http://schemas.microsoft.com/office/drawing/2010/main"/>
                      </a:ext>
                    </a:extLst>
                  </pic:spPr>
                </pic:pic>
              </a:graphicData>
            </a:graphic>
          </wp:inline>
        </w:drawing>
      </w:r>
    </w:p>
    <w:p w14:paraId="086DB313" w14:textId="77777777" w:rsidR="00654509" w:rsidRPr="00654509" w:rsidRDefault="00654509" w:rsidP="00654509">
      <w:pPr>
        <w:rPr>
          <w:sz w:val="22"/>
          <w:szCs w:val="22"/>
        </w:rPr>
      </w:pPr>
      <w:r w:rsidRPr="00654509">
        <w:rPr>
          <w:sz w:val="22"/>
          <w:szCs w:val="22"/>
        </w:rPr>
        <w:t>Alex Gonzalez, DDS, MAGD</w:t>
      </w:r>
    </w:p>
    <w:p w14:paraId="737B8D28" w14:textId="77777777" w:rsidR="00654509" w:rsidRPr="00654509" w:rsidRDefault="00654509" w:rsidP="00654509">
      <w:pPr>
        <w:rPr>
          <w:sz w:val="22"/>
          <w:szCs w:val="22"/>
        </w:rPr>
      </w:pPr>
      <w:r w:rsidRPr="00654509">
        <w:rPr>
          <w:sz w:val="22"/>
          <w:szCs w:val="22"/>
        </w:rPr>
        <w:t xml:space="preserve">President </w:t>
      </w:r>
    </w:p>
    <w:p w14:paraId="40900CC8" w14:textId="6A64E3FF" w:rsidR="005A181F" w:rsidRPr="00654509" w:rsidRDefault="00654509" w:rsidP="00A25C4F">
      <w:pPr>
        <w:rPr>
          <w:sz w:val="22"/>
          <w:szCs w:val="22"/>
        </w:rPr>
      </w:pPr>
      <w:r w:rsidRPr="00654509">
        <w:rPr>
          <w:sz w:val="22"/>
          <w:szCs w:val="22"/>
        </w:rPr>
        <w:t>Texas Academy of General Dentistry</w:t>
      </w:r>
    </w:p>
    <w:sectPr w:rsidR="005A181F" w:rsidRPr="00654509" w:rsidSect="002947F3">
      <w:headerReference w:type="even" r:id="rId12"/>
      <w:headerReference w:type="default" r:id="rId13"/>
      <w:footerReference w:type="even" r:id="rId14"/>
      <w:footerReference w:type="default" r:id="rId15"/>
      <w:headerReference w:type="first" r:id="rId16"/>
      <w:footerReference w:type="first" r:id="rId17"/>
      <w:pgSz w:w="12240" w:h="15840"/>
      <w:pgMar w:top="1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50540" w14:textId="77777777" w:rsidR="002947F3" w:rsidRDefault="002947F3" w:rsidP="00303D59">
      <w:r>
        <w:separator/>
      </w:r>
    </w:p>
  </w:endnote>
  <w:endnote w:type="continuationSeparator" w:id="0">
    <w:p w14:paraId="71ABFCBB" w14:textId="77777777" w:rsidR="002947F3" w:rsidRDefault="002947F3" w:rsidP="00303D59">
      <w:r>
        <w:continuationSeparator/>
      </w:r>
    </w:p>
  </w:endnote>
  <w:endnote w:type="continuationNotice" w:id="1">
    <w:p w14:paraId="4C73A027" w14:textId="77777777" w:rsidR="002947F3" w:rsidRDefault="00294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20B0604020202020204"/>
    <w:charset w:val="00"/>
    <w:family w:val="swiss"/>
    <w:notTrueType/>
    <w:pitch w:val="variable"/>
    <w:sig w:usb0="2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411A" w14:textId="77777777" w:rsidR="00D53722" w:rsidRDefault="00D53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605F" w14:textId="3BA694FB" w:rsidR="005E3412" w:rsidRPr="00DC0C5F" w:rsidRDefault="008A4786" w:rsidP="005E3412">
    <w:pPr>
      <w:pStyle w:val="BasicParagraph"/>
      <w:jc w:val="center"/>
      <w:rPr>
        <w:rFonts w:ascii="Myriad Pro" w:hAnsi="Myriad Pro" w:cs="Myriad Pro"/>
        <w:caps/>
        <w:color w:val="FFFFFF"/>
        <w:spacing w:val="11"/>
        <w:sz w:val="22"/>
        <w:szCs w:val="22"/>
      </w:rPr>
    </w:pPr>
    <w:r w:rsidRPr="00DC0C5F">
      <w:rPr>
        <w:rFonts w:ascii="Myriad Pro" w:hAnsi="Myriad Pro" w:cs="Myriad Pro"/>
        <w:caps/>
        <w:noProof/>
        <w:color w:val="FFFFFF"/>
        <w:spacing w:val="11"/>
        <w:sz w:val="22"/>
        <w:szCs w:val="22"/>
      </w:rPr>
      <mc:AlternateContent>
        <mc:Choice Requires="wps">
          <w:drawing>
            <wp:anchor distT="0" distB="0" distL="114300" distR="114300" simplePos="0" relativeHeight="251658240" behindDoc="1" locked="0" layoutInCell="1" allowOverlap="1" wp14:anchorId="690E1302" wp14:editId="5BFC253E">
              <wp:simplePos x="0" y="0"/>
              <wp:positionH relativeFrom="column">
                <wp:posOffset>1905</wp:posOffset>
              </wp:positionH>
              <wp:positionV relativeFrom="paragraph">
                <wp:posOffset>74930</wp:posOffset>
              </wp:positionV>
              <wp:extent cx="6855460" cy="81915"/>
              <wp:effectExtent l="0" t="0" r="2540" b="0"/>
              <wp:wrapNone/>
              <wp:docPr id="6" name="Rectangle 6"/>
              <wp:cNvGraphicFramePr/>
              <a:graphic xmlns:a="http://schemas.openxmlformats.org/drawingml/2006/main">
                <a:graphicData uri="http://schemas.microsoft.com/office/word/2010/wordprocessingShape">
                  <wps:wsp>
                    <wps:cNvSpPr/>
                    <wps:spPr>
                      <a:xfrm flipV="1">
                        <a:off x="0" y="0"/>
                        <a:ext cx="6855460" cy="81915"/>
                      </a:xfrm>
                      <a:prstGeom prst="rect">
                        <a:avLst/>
                      </a:prstGeom>
                      <a:solidFill>
                        <a:srgbClr val="56A0D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BFFB7" id="Rectangle 6" o:spid="_x0000_s1026" style="position:absolute;margin-left:.15pt;margin-top:5.9pt;width:539.8pt;height:6.4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" fillcolor="#56a0d3" stroked="f" strokeweight="2pt"/>
          </w:pict>
        </mc:Fallback>
      </mc:AlternateContent>
    </w:r>
    <w:r w:rsidRPr="00260F7D">
      <w:rPr>
        <w:noProof/>
      </w:rPr>
      <mc:AlternateContent>
        <mc:Choice Requires="wps">
          <w:drawing>
            <wp:anchor distT="0" distB="0" distL="114300" distR="114300" simplePos="0" relativeHeight="251658241" behindDoc="1" locked="0" layoutInCell="1" allowOverlap="1" wp14:anchorId="732D9C7A" wp14:editId="37D8F62C">
              <wp:simplePos x="0" y="0"/>
              <wp:positionH relativeFrom="column">
                <wp:posOffset>1905</wp:posOffset>
              </wp:positionH>
              <wp:positionV relativeFrom="paragraph">
                <wp:posOffset>147158</wp:posOffset>
              </wp:positionV>
              <wp:extent cx="6855460" cy="250825"/>
              <wp:effectExtent l="0" t="0" r="2540" b="0"/>
              <wp:wrapNone/>
              <wp:docPr id="10" name="Rectangle 10"/>
              <wp:cNvGraphicFramePr/>
              <a:graphic xmlns:a="http://schemas.openxmlformats.org/drawingml/2006/main">
                <a:graphicData uri="http://schemas.microsoft.com/office/word/2010/wordprocessingShape">
                  <wps:wsp>
                    <wps:cNvSpPr/>
                    <wps:spPr>
                      <a:xfrm>
                        <a:off x="0" y="0"/>
                        <a:ext cx="6855460" cy="250825"/>
                      </a:xfrm>
                      <a:prstGeom prst="rect">
                        <a:avLst/>
                      </a:prstGeom>
                      <a:solidFill>
                        <a:srgbClr val="3B3D3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A1B7B" id="Rectangle 10" o:spid="_x0000_s1026" style="position:absolute;margin-left:.15pt;margin-top:11.6pt;width:539.8pt;height:19.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" fillcolor="#3b3d3d" stroked="f" strokeweight="2pt"/>
          </w:pict>
        </mc:Fallback>
      </mc:AlternateContent>
    </w:r>
  </w:p>
  <w:p w14:paraId="770CF347" w14:textId="29FC54E1" w:rsidR="00303D59" w:rsidRPr="006E6CAD" w:rsidRDefault="00260F7D" w:rsidP="005E3412">
    <w:pPr>
      <w:pStyle w:val="BasicParagraph"/>
      <w:jc w:val="center"/>
      <w:rPr>
        <w:rFonts w:ascii="Myriad Pro" w:hAnsi="Myriad Pro" w:cs="Myriad Pro"/>
        <w:caps/>
        <w:color w:val="FFFFFF"/>
        <w:spacing w:val="11"/>
        <w:sz w:val="22"/>
        <w:szCs w:val="22"/>
        <w:lang w:val="fr-FR"/>
      </w:rPr>
    </w:pPr>
    <w:r w:rsidRPr="006E6CAD">
      <w:rPr>
        <w:rFonts w:ascii="Myriad Pro" w:hAnsi="Myriad Pro" w:cs="Myriad Pro"/>
        <w:caps/>
        <w:color w:val="FFFFFF"/>
        <w:spacing w:val="11"/>
        <w:sz w:val="20"/>
        <w:szCs w:val="20"/>
        <w:lang w:val="fr-FR"/>
      </w:rPr>
      <w:t>1016 LA POSADA DR SUITE 2</w:t>
    </w:r>
    <w:r w:rsidR="00D53722" w:rsidRPr="006E6CAD">
      <w:rPr>
        <w:rFonts w:ascii="Myriad Pro" w:hAnsi="Myriad Pro" w:cs="Myriad Pro"/>
        <w:caps/>
        <w:color w:val="FFFFFF"/>
        <w:spacing w:val="11"/>
        <w:sz w:val="20"/>
        <w:szCs w:val="20"/>
        <w:lang w:val="fr-FR"/>
      </w:rPr>
      <w:t>1</w:t>
    </w:r>
    <w:r w:rsidRPr="006E6CAD">
      <w:rPr>
        <w:rFonts w:ascii="Myriad Pro" w:hAnsi="Myriad Pro" w:cs="Myriad Pro"/>
        <w:caps/>
        <w:color w:val="FFFFFF"/>
        <w:spacing w:val="11"/>
        <w:sz w:val="20"/>
        <w:szCs w:val="20"/>
        <w:lang w:val="fr-FR"/>
      </w:rPr>
      <w:t>0</w:t>
    </w:r>
    <w:r w:rsidRPr="006E6CAD">
      <w:rPr>
        <w:rFonts w:ascii="Myriad Pro" w:hAnsi="Myriad Pro" w:cs="Century Gothic"/>
        <w:caps/>
        <w:color w:val="FFFFFF"/>
        <w:spacing w:val="11"/>
        <w:sz w:val="22"/>
        <w:szCs w:val="22"/>
        <w:lang w:val="fr-FR"/>
      </w:rPr>
      <w:t xml:space="preserve"> </w:t>
    </w:r>
    <w:r w:rsidRPr="00DC0C5F">
      <w:rPr>
        <w:rFonts w:ascii="Garamond" w:hAnsi="Garamond"/>
        <w:b/>
        <w:color w:val="FFFFFF"/>
        <w:sz w:val="10"/>
        <w:szCs w:val="10"/>
      </w:rPr>
      <w:sym w:font="Wingdings" w:char="F06C"/>
    </w:r>
    <w:r w:rsidRPr="006E6CAD">
      <w:rPr>
        <w:rFonts w:ascii="Myriad Pro" w:hAnsi="Myriad Pro" w:cs="Century Gothic"/>
        <w:caps/>
        <w:color w:val="FFFFFF"/>
        <w:spacing w:val="11"/>
        <w:sz w:val="22"/>
        <w:szCs w:val="22"/>
        <w:lang w:val="fr-FR"/>
      </w:rPr>
      <w:t xml:space="preserve"> </w:t>
    </w:r>
    <w:r w:rsidRPr="006E6CAD">
      <w:rPr>
        <w:rFonts w:ascii="Myriad Pro" w:hAnsi="Myriad Pro" w:cs="Myriad Pro"/>
        <w:caps/>
        <w:color w:val="FFFFFF"/>
        <w:spacing w:val="11"/>
        <w:sz w:val="20"/>
        <w:szCs w:val="22"/>
        <w:lang w:val="fr-FR"/>
      </w:rPr>
      <w:t>AUSTIN, TX 78752</w:t>
    </w:r>
    <w:r w:rsidRPr="006E6CAD">
      <w:rPr>
        <w:rFonts w:ascii="Myriad Pro" w:hAnsi="Myriad Pro" w:cs="Century Gothic"/>
        <w:caps/>
        <w:color w:val="FFFFFF"/>
        <w:spacing w:val="11"/>
        <w:sz w:val="20"/>
        <w:szCs w:val="22"/>
        <w:lang w:val="fr-FR"/>
      </w:rPr>
      <w:t xml:space="preserve"> </w:t>
    </w:r>
    <w:r w:rsidRPr="00DC0C5F">
      <w:rPr>
        <w:rFonts w:ascii="Garamond" w:hAnsi="Garamond"/>
        <w:b/>
        <w:color w:val="FFFFFF"/>
        <w:sz w:val="10"/>
        <w:szCs w:val="10"/>
      </w:rPr>
      <w:sym w:font="Wingdings" w:char="F06C"/>
    </w:r>
    <w:r w:rsidRPr="006E6CAD">
      <w:rPr>
        <w:rFonts w:ascii="Myriad Pro" w:hAnsi="Myriad Pro" w:cs="Century Gothic"/>
        <w:caps/>
        <w:color w:val="FFFFFF"/>
        <w:spacing w:val="11"/>
        <w:sz w:val="22"/>
        <w:szCs w:val="22"/>
        <w:lang w:val="fr-FR"/>
      </w:rPr>
      <w:t xml:space="preserve"> </w:t>
    </w:r>
    <w:r w:rsidRPr="006E6CAD">
      <w:rPr>
        <w:rFonts w:ascii="Myriad Pro" w:hAnsi="Myriad Pro" w:cs="Century Gothic"/>
        <w:caps/>
        <w:color w:val="FFFFFF"/>
        <w:spacing w:val="11"/>
        <w:sz w:val="20"/>
        <w:szCs w:val="22"/>
        <w:lang w:val="fr-FR"/>
      </w:rPr>
      <w:t xml:space="preserve">P </w:t>
    </w:r>
    <w:r w:rsidRPr="006E6CAD">
      <w:rPr>
        <w:rFonts w:ascii="Myriad Pro" w:hAnsi="Myriad Pro" w:cs="Myriad Pro"/>
        <w:caps/>
        <w:color w:val="FFFFFF"/>
        <w:spacing w:val="11"/>
        <w:sz w:val="20"/>
        <w:szCs w:val="22"/>
        <w:lang w:val="fr-FR"/>
      </w:rPr>
      <w:t>512-371-7144</w:t>
    </w:r>
    <w:r w:rsidRPr="006E6CAD">
      <w:rPr>
        <w:rFonts w:ascii="Myriad Pro" w:hAnsi="Myriad Pro" w:cs="Century Gothic"/>
        <w:caps/>
        <w:color w:val="FFFFFF"/>
        <w:spacing w:val="11"/>
        <w:sz w:val="20"/>
        <w:szCs w:val="22"/>
        <w:lang w:val="fr-FR"/>
      </w:rPr>
      <w:t xml:space="preserve"> </w:t>
    </w:r>
    <w:r w:rsidRPr="00DC0C5F">
      <w:rPr>
        <w:rFonts w:ascii="Garamond" w:hAnsi="Garamond"/>
        <w:b/>
        <w:color w:val="FFFFFF"/>
        <w:sz w:val="10"/>
        <w:szCs w:val="10"/>
      </w:rPr>
      <w:sym w:font="Wingdings" w:char="F06C"/>
    </w:r>
    <w:r w:rsidRPr="006E6CAD">
      <w:rPr>
        <w:rFonts w:ascii="Myriad Pro" w:hAnsi="Myriad Pro" w:cs="Century Gothic"/>
        <w:caps/>
        <w:color w:val="FFFFFF"/>
        <w:spacing w:val="11"/>
        <w:sz w:val="22"/>
        <w:szCs w:val="22"/>
        <w:lang w:val="fr-FR"/>
      </w:rPr>
      <w:t xml:space="preserve"> </w:t>
    </w:r>
    <w:r w:rsidRPr="006E6CAD">
      <w:rPr>
        <w:rFonts w:ascii="Myriad Pro" w:hAnsi="Myriad Pro" w:cs="Myriad Pro"/>
        <w:caps/>
        <w:color w:val="FFFFFF"/>
        <w:spacing w:val="11"/>
        <w:sz w:val="20"/>
        <w:szCs w:val="22"/>
        <w:lang w:val="fr-FR"/>
      </w:rPr>
      <w:t>F 512-371-7178</w:t>
    </w:r>
    <w:r w:rsidRPr="006E6CAD">
      <w:rPr>
        <w:rFonts w:ascii="Myriad Pro" w:hAnsi="Myriad Pro" w:cs="Century Gothic"/>
        <w:caps/>
        <w:color w:val="FFFFFF"/>
        <w:spacing w:val="11"/>
        <w:sz w:val="20"/>
        <w:szCs w:val="22"/>
        <w:lang w:val="fr-FR"/>
      </w:rPr>
      <w:t xml:space="preserve"> </w:t>
    </w:r>
    <w:r w:rsidRPr="00DC0C5F">
      <w:rPr>
        <w:rFonts w:ascii="Garamond" w:hAnsi="Garamond"/>
        <w:b/>
        <w:color w:val="FFFFFF"/>
        <w:sz w:val="10"/>
        <w:szCs w:val="10"/>
      </w:rPr>
      <w:sym w:font="Wingdings" w:char="F06C"/>
    </w:r>
    <w:r w:rsidRPr="006E6CAD">
      <w:rPr>
        <w:rFonts w:ascii="Myriad Pro" w:hAnsi="Myriad Pro" w:cs="Century Gothic"/>
        <w:caps/>
        <w:color w:val="FFFFFF"/>
        <w:spacing w:val="11"/>
        <w:sz w:val="22"/>
        <w:szCs w:val="22"/>
        <w:lang w:val="fr-FR"/>
      </w:rPr>
      <w:t xml:space="preserve"> </w:t>
    </w:r>
    <w:hyperlink r:id="rId1" w:history="1">
      <w:r w:rsidRPr="006E6CAD">
        <w:rPr>
          <w:rStyle w:val="Hyperlink"/>
          <w:rFonts w:ascii="Myriad Pro" w:hAnsi="Myriad Pro" w:cs="Myriad Pro"/>
          <w:caps/>
          <w:color w:val="FFFFFF"/>
          <w:spacing w:val="11"/>
          <w:sz w:val="20"/>
          <w:szCs w:val="22"/>
          <w:lang w:val="fr-FR"/>
        </w:rPr>
        <w:t>WWW.TAGD.ORG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21CE" w14:textId="77777777" w:rsidR="00D53722" w:rsidRDefault="00D53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8F7AC" w14:textId="77777777" w:rsidR="002947F3" w:rsidRDefault="002947F3" w:rsidP="00303D59">
      <w:r>
        <w:separator/>
      </w:r>
    </w:p>
  </w:footnote>
  <w:footnote w:type="continuationSeparator" w:id="0">
    <w:p w14:paraId="052BC3F4" w14:textId="77777777" w:rsidR="002947F3" w:rsidRDefault="002947F3" w:rsidP="00303D59">
      <w:r>
        <w:continuationSeparator/>
      </w:r>
    </w:p>
  </w:footnote>
  <w:footnote w:type="continuationNotice" w:id="1">
    <w:p w14:paraId="25BB9295" w14:textId="77777777" w:rsidR="002947F3" w:rsidRDefault="002947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B8CC" w14:textId="77777777" w:rsidR="00D53722" w:rsidRDefault="00D53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EBCC2" w14:textId="775F3693" w:rsidR="0039691E" w:rsidRDefault="0039691E">
    <w:pPr>
      <w:pStyle w:val="Header"/>
      <w:rPr>
        <w:noProof/>
      </w:rPr>
    </w:pPr>
  </w:p>
  <w:p w14:paraId="2F5C27C2" w14:textId="77777777" w:rsidR="00C401E2" w:rsidRDefault="00483E31">
    <w:pPr>
      <w:pStyle w:val="Header"/>
      <w:rPr>
        <w:noProof/>
      </w:rPr>
    </w:pPr>
    <w:r>
      <w:rPr>
        <w:noProof/>
      </w:rPr>
      <w:drawing>
        <wp:inline distT="0" distB="0" distL="0" distR="0" wp14:anchorId="26165112" wp14:editId="4130DC02">
          <wp:extent cx="2838734" cy="68129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D-Texas-Logo-COLOR.jpg"/>
                  <pic:cNvPicPr/>
                </pic:nvPicPr>
                <pic:blipFill>
                  <a:blip r:embed="rId1">
                    <a:extLst>
                      <a:ext uri="{28A0092B-C50C-407E-A947-70E740481C1C}">
                        <a14:useLocalDpi xmlns:a14="http://schemas.microsoft.com/office/drawing/2010/main" val="0"/>
                      </a:ext>
                    </a:extLst>
                  </a:blip>
                  <a:stretch>
                    <a:fillRect/>
                  </a:stretch>
                </pic:blipFill>
                <pic:spPr>
                  <a:xfrm>
                    <a:off x="0" y="0"/>
                    <a:ext cx="2837835" cy="681080"/>
                  </a:xfrm>
                  <a:prstGeom prst="rect">
                    <a:avLst/>
                  </a:prstGeom>
                </pic:spPr>
              </pic:pic>
            </a:graphicData>
          </a:graphic>
        </wp:inline>
      </w:drawing>
    </w:r>
  </w:p>
  <w:p w14:paraId="7D6E09AD" w14:textId="77777777" w:rsidR="005E3412" w:rsidRDefault="008A4786">
    <w:pPr>
      <w:pStyle w:val="Header"/>
      <w:rPr>
        <w:noProof/>
      </w:rPr>
    </w:pPr>
    <w:r>
      <w:rPr>
        <w:noProof/>
      </w:rPr>
      <mc:AlternateContent>
        <mc:Choice Requires="wps">
          <w:drawing>
            <wp:anchor distT="0" distB="0" distL="114300" distR="114300" simplePos="0" relativeHeight="251658242" behindDoc="0" locked="0" layoutInCell="1" allowOverlap="1" wp14:anchorId="0A75029C" wp14:editId="45F1D1E5">
              <wp:simplePos x="0" y="0"/>
              <wp:positionH relativeFrom="column">
                <wp:posOffset>3658</wp:posOffset>
              </wp:positionH>
              <wp:positionV relativeFrom="paragraph">
                <wp:posOffset>74295</wp:posOffset>
              </wp:positionV>
              <wp:extent cx="6854342"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6854342" cy="0"/>
                      </a:xfrm>
                      <a:prstGeom prst="line">
                        <a:avLst/>
                      </a:prstGeom>
                      <a:ln w="9525">
                        <a:solidFill>
                          <a:srgbClr val="56A0D3"/>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F0EB6F" id="Straight Connector 4"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3pt,5.85pt" to="540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" strokecolor="#56a0d3"/>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A353" w14:textId="77777777" w:rsidR="00D53722" w:rsidRDefault="00D53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19E6"/>
    <w:multiLevelType w:val="hybridMultilevel"/>
    <w:tmpl w:val="9BBE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613BC"/>
    <w:multiLevelType w:val="hybridMultilevel"/>
    <w:tmpl w:val="B1AA50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692BA3"/>
    <w:multiLevelType w:val="hybridMultilevel"/>
    <w:tmpl w:val="AC4210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3B42234"/>
    <w:multiLevelType w:val="hybridMultilevel"/>
    <w:tmpl w:val="DADA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D7143"/>
    <w:multiLevelType w:val="hybridMultilevel"/>
    <w:tmpl w:val="79181CF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41156E"/>
    <w:multiLevelType w:val="hybridMultilevel"/>
    <w:tmpl w:val="C0F85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1645C"/>
    <w:multiLevelType w:val="hybridMultilevel"/>
    <w:tmpl w:val="7CFC72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350311"/>
    <w:multiLevelType w:val="hybridMultilevel"/>
    <w:tmpl w:val="A792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9B2C73"/>
    <w:multiLevelType w:val="hybridMultilevel"/>
    <w:tmpl w:val="7F22A9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A353A7"/>
    <w:multiLevelType w:val="hybridMultilevel"/>
    <w:tmpl w:val="E6E445E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50CC70C1"/>
    <w:multiLevelType w:val="hybridMultilevel"/>
    <w:tmpl w:val="53207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380585"/>
    <w:multiLevelType w:val="hybridMultilevel"/>
    <w:tmpl w:val="615090F8"/>
    <w:lvl w:ilvl="0" w:tplc="55645CB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A68A7"/>
    <w:multiLevelType w:val="multilevel"/>
    <w:tmpl w:val="2882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806333"/>
    <w:multiLevelType w:val="hybridMultilevel"/>
    <w:tmpl w:val="BFA4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C211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84493217">
    <w:abstractNumId w:val="13"/>
  </w:num>
  <w:num w:numId="2" w16cid:durableId="1011184251">
    <w:abstractNumId w:val="11"/>
  </w:num>
  <w:num w:numId="3" w16cid:durableId="61758384">
    <w:abstractNumId w:val="8"/>
  </w:num>
  <w:num w:numId="4" w16cid:durableId="1725716934">
    <w:abstractNumId w:val="7"/>
  </w:num>
  <w:num w:numId="5" w16cid:durableId="1640963820">
    <w:abstractNumId w:val="5"/>
  </w:num>
  <w:num w:numId="6" w16cid:durableId="1387756777">
    <w:abstractNumId w:val="10"/>
  </w:num>
  <w:num w:numId="7" w16cid:durableId="1624001555">
    <w:abstractNumId w:val="6"/>
  </w:num>
  <w:num w:numId="8" w16cid:durableId="650599039">
    <w:abstractNumId w:val="0"/>
  </w:num>
  <w:num w:numId="9" w16cid:durableId="1964261001">
    <w:abstractNumId w:val="3"/>
  </w:num>
  <w:num w:numId="10" w16cid:durableId="2106612178">
    <w:abstractNumId w:val="12"/>
  </w:num>
  <w:num w:numId="11" w16cid:durableId="1267229066">
    <w:abstractNumId w:val="9"/>
  </w:num>
  <w:num w:numId="12" w16cid:durableId="65763930">
    <w:abstractNumId w:val="14"/>
  </w:num>
  <w:num w:numId="13" w16cid:durableId="1113744872">
    <w:abstractNumId w:val="1"/>
  </w:num>
  <w:num w:numId="14" w16cid:durableId="1200317166">
    <w:abstractNumId w:val="2"/>
  </w:num>
  <w:num w:numId="15" w16cid:durableId="1833370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16"/>
    <w:rsid w:val="00093BE5"/>
    <w:rsid w:val="00140BC1"/>
    <w:rsid w:val="001714E9"/>
    <w:rsid w:val="001A5F29"/>
    <w:rsid w:val="001C08BE"/>
    <w:rsid w:val="00203283"/>
    <w:rsid w:val="00260F7D"/>
    <w:rsid w:val="002947F3"/>
    <w:rsid w:val="002E6040"/>
    <w:rsid w:val="00303D59"/>
    <w:rsid w:val="00330722"/>
    <w:rsid w:val="0033430F"/>
    <w:rsid w:val="0039691E"/>
    <w:rsid w:val="004326C3"/>
    <w:rsid w:val="004403EC"/>
    <w:rsid w:val="00464152"/>
    <w:rsid w:val="0047451D"/>
    <w:rsid w:val="00483E31"/>
    <w:rsid w:val="004B39EB"/>
    <w:rsid w:val="004D1B19"/>
    <w:rsid w:val="004E6547"/>
    <w:rsid w:val="00501D07"/>
    <w:rsid w:val="00545421"/>
    <w:rsid w:val="00567E9B"/>
    <w:rsid w:val="00571DE4"/>
    <w:rsid w:val="005A181F"/>
    <w:rsid w:val="005E3412"/>
    <w:rsid w:val="006114E4"/>
    <w:rsid w:val="0063060A"/>
    <w:rsid w:val="00637E20"/>
    <w:rsid w:val="00641EC2"/>
    <w:rsid w:val="00654509"/>
    <w:rsid w:val="0066619A"/>
    <w:rsid w:val="00672D4D"/>
    <w:rsid w:val="006C1CDB"/>
    <w:rsid w:val="006E6CAD"/>
    <w:rsid w:val="00711846"/>
    <w:rsid w:val="007270E5"/>
    <w:rsid w:val="007600B4"/>
    <w:rsid w:val="00781890"/>
    <w:rsid w:val="007F25D5"/>
    <w:rsid w:val="0086053E"/>
    <w:rsid w:val="008A4786"/>
    <w:rsid w:val="008B6E5F"/>
    <w:rsid w:val="008C2950"/>
    <w:rsid w:val="008F09A1"/>
    <w:rsid w:val="00906821"/>
    <w:rsid w:val="009157C5"/>
    <w:rsid w:val="009546A8"/>
    <w:rsid w:val="00954B22"/>
    <w:rsid w:val="00986EE0"/>
    <w:rsid w:val="009877A6"/>
    <w:rsid w:val="009902C1"/>
    <w:rsid w:val="009B09A6"/>
    <w:rsid w:val="009E0F8E"/>
    <w:rsid w:val="00A026FD"/>
    <w:rsid w:val="00A25C4F"/>
    <w:rsid w:val="00A347DB"/>
    <w:rsid w:val="00A34ED9"/>
    <w:rsid w:val="00A66656"/>
    <w:rsid w:val="00A70984"/>
    <w:rsid w:val="00A8544E"/>
    <w:rsid w:val="00A93BB7"/>
    <w:rsid w:val="00AC5943"/>
    <w:rsid w:val="00B035E1"/>
    <w:rsid w:val="00B564CB"/>
    <w:rsid w:val="00B71FD9"/>
    <w:rsid w:val="00BA2A64"/>
    <w:rsid w:val="00BC46CD"/>
    <w:rsid w:val="00C22B3C"/>
    <w:rsid w:val="00C364F3"/>
    <w:rsid w:val="00C401E2"/>
    <w:rsid w:val="00CB1FB9"/>
    <w:rsid w:val="00CC1313"/>
    <w:rsid w:val="00CE29BC"/>
    <w:rsid w:val="00D402E3"/>
    <w:rsid w:val="00D410DB"/>
    <w:rsid w:val="00D53722"/>
    <w:rsid w:val="00D817CF"/>
    <w:rsid w:val="00D972FC"/>
    <w:rsid w:val="00DA776D"/>
    <w:rsid w:val="00DC0C5F"/>
    <w:rsid w:val="00DC35AD"/>
    <w:rsid w:val="00DD1487"/>
    <w:rsid w:val="00DD1B7F"/>
    <w:rsid w:val="00E21621"/>
    <w:rsid w:val="00E44A16"/>
    <w:rsid w:val="00E52F10"/>
    <w:rsid w:val="00E62060"/>
    <w:rsid w:val="00E923C6"/>
    <w:rsid w:val="00E94C9B"/>
    <w:rsid w:val="00ED6960"/>
    <w:rsid w:val="00EF6156"/>
    <w:rsid w:val="00F14BE8"/>
    <w:rsid w:val="00FA13F3"/>
    <w:rsid w:val="00FC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D718C"/>
  <w15:docId w15:val="{96DAC5B3-FB88-4D46-A564-92AD267A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95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4A16"/>
    <w:rPr>
      <w:rFonts w:ascii="Tahoma" w:hAnsi="Tahoma" w:cs="Tahoma"/>
      <w:sz w:val="16"/>
      <w:szCs w:val="16"/>
    </w:rPr>
  </w:style>
  <w:style w:type="character" w:customStyle="1" w:styleId="BalloonTextChar">
    <w:name w:val="Balloon Text Char"/>
    <w:basedOn w:val="DefaultParagraphFont"/>
    <w:link w:val="BalloonText"/>
    <w:uiPriority w:val="99"/>
    <w:semiHidden/>
    <w:rsid w:val="00E44A16"/>
    <w:rPr>
      <w:rFonts w:ascii="Tahoma" w:hAnsi="Tahoma" w:cs="Tahoma"/>
      <w:sz w:val="16"/>
      <w:szCs w:val="16"/>
    </w:rPr>
  </w:style>
  <w:style w:type="paragraph" w:styleId="Header">
    <w:name w:val="header"/>
    <w:basedOn w:val="Normal"/>
    <w:link w:val="HeaderChar"/>
    <w:uiPriority w:val="99"/>
    <w:unhideWhenUsed/>
    <w:rsid w:val="00303D59"/>
    <w:pPr>
      <w:tabs>
        <w:tab w:val="center" w:pos="4680"/>
        <w:tab w:val="right" w:pos="9360"/>
      </w:tabs>
    </w:pPr>
  </w:style>
  <w:style w:type="character" w:customStyle="1" w:styleId="HeaderChar">
    <w:name w:val="Header Char"/>
    <w:basedOn w:val="DefaultParagraphFont"/>
    <w:link w:val="Header"/>
    <w:uiPriority w:val="99"/>
    <w:rsid w:val="00303D59"/>
  </w:style>
  <w:style w:type="paragraph" w:styleId="Footer">
    <w:name w:val="footer"/>
    <w:basedOn w:val="Normal"/>
    <w:link w:val="FooterChar"/>
    <w:uiPriority w:val="99"/>
    <w:unhideWhenUsed/>
    <w:rsid w:val="00303D59"/>
    <w:pPr>
      <w:tabs>
        <w:tab w:val="center" w:pos="4680"/>
        <w:tab w:val="right" w:pos="9360"/>
      </w:tabs>
    </w:pPr>
  </w:style>
  <w:style w:type="character" w:customStyle="1" w:styleId="FooterChar">
    <w:name w:val="Footer Char"/>
    <w:basedOn w:val="DefaultParagraphFont"/>
    <w:link w:val="Footer"/>
    <w:uiPriority w:val="99"/>
    <w:rsid w:val="00303D59"/>
  </w:style>
  <w:style w:type="paragraph" w:customStyle="1" w:styleId="BasicParagraph">
    <w:name w:val="[Basic Paragraph]"/>
    <w:basedOn w:val="Normal"/>
    <w:uiPriority w:val="99"/>
    <w:rsid w:val="00EF6156"/>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A8544E"/>
    <w:pPr>
      <w:ind w:left="720"/>
      <w:contextualSpacing/>
    </w:pPr>
  </w:style>
  <w:style w:type="table" w:styleId="TableGrid">
    <w:name w:val="Table Grid"/>
    <w:basedOn w:val="TableNormal"/>
    <w:rsid w:val="00DD1B7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09A6"/>
    <w:rPr>
      <w:color w:val="0000FF" w:themeColor="hyperlink"/>
      <w:u w:val="single"/>
    </w:rPr>
  </w:style>
  <w:style w:type="paragraph" w:styleId="Caption">
    <w:name w:val="caption"/>
    <w:basedOn w:val="Normal"/>
    <w:next w:val="Normal"/>
    <w:uiPriority w:val="35"/>
    <w:unhideWhenUsed/>
    <w:qFormat/>
    <w:rsid w:val="00B035E1"/>
    <w:pPr>
      <w:spacing w:after="200"/>
    </w:pPr>
    <w:rPr>
      <w:b/>
      <w:bCs/>
      <w:color w:val="4F81BD" w:themeColor="accent1"/>
      <w:sz w:val="18"/>
      <w:szCs w:val="18"/>
    </w:rPr>
  </w:style>
  <w:style w:type="table" w:customStyle="1" w:styleId="TableGrid1">
    <w:name w:val="Table Grid1"/>
    <w:basedOn w:val="TableNormal"/>
    <w:next w:val="TableGrid"/>
    <w:uiPriority w:val="39"/>
    <w:rsid w:val="00DC0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6E6CAD"/>
    <w:rPr>
      <w:rFonts w:ascii="Arial" w:hAnsi="Arial"/>
      <w:i/>
      <w:iCs/>
      <w:sz w:val="20"/>
    </w:rPr>
  </w:style>
  <w:style w:type="paragraph" w:customStyle="1" w:styleId="PAParaText">
    <w:name w:val="PA_ParaText"/>
    <w:basedOn w:val="Normal"/>
    <w:rsid w:val="006E6CAD"/>
    <w:pPr>
      <w:spacing w:after="120"/>
      <w:jc w:val="both"/>
    </w:pPr>
    <w:rPr>
      <w:rFonts w:ascii="Arial" w:eastAsia="SimSun" w:hAnsi="Arial"/>
      <w:sz w:val="20"/>
      <w:szCs w:val="20"/>
      <w:lang w:eastAsia="zh-CN"/>
    </w:rPr>
  </w:style>
  <w:style w:type="paragraph" w:customStyle="1" w:styleId="PACellText">
    <w:name w:val="PA_CellText"/>
    <w:basedOn w:val="PAParaText"/>
    <w:rsid w:val="006E6CAD"/>
    <w:pPr>
      <w:spacing w:after="0"/>
      <w:jc w:val="left"/>
    </w:pPr>
  </w:style>
  <w:style w:type="character" w:customStyle="1" w:styleId="PPCRefFASBASC450">
    <w:name w:val="PPCRef_FASB_ASC_450"/>
    <w:rsid w:val="006E6CAD"/>
    <w:rPr>
      <w:color w:val="0000FF"/>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61401">
      <w:bodyDiv w:val="1"/>
      <w:marLeft w:val="0"/>
      <w:marRight w:val="0"/>
      <w:marTop w:val="0"/>
      <w:marBottom w:val="0"/>
      <w:divBdr>
        <w:top w:val="none" w:sz="0" w:space="0" w:color="auto"/>
        <w:left w:val="none" w:sz="0" w:space="0" w:color="auto"/>
        <w:bottom w:val="none" w:sz="0" w:space="0" w:color="auto"/>
        <w:right w:val="none" w:sz="0" w:space="0" w:color="auto"/>
      </w:divBdr>
    </w:div>
    <w:div w:id="172496797">
      <w:bodyDiv w:val="1"/>
      <w:marLeft w:val="0"/>
      <w:marRight w:val="0"/>
      <w:marTop w:val="0"/>
      <w:marBottom w:val="0"/>
      <w:divBdr>
        <w:top w:val="none" w:sz="0" w:space="0" w:color="auto"/>
        <w:left w:val="none" w:sz="0" w:space="0" w:color="auto"/>
        <w:bottom w:val="none" w:sz="0" w:space="0" w:color="auto"/>
        <w:right w:val="none" w:sz="0" w:space="0" w:color="auto"/>
      </w:divBdr>
    </w:div>
    <w:div w:id="376783932">
      <w:bodyDiv w:val="1"/>
      <w:marLeft w:val="0"/>
      <w:marRight w:val="0"/>
      <w:marTop w:val="0"/>
      <w:marBottom w:val="0"/>
      <w:divBdr>
        <w:top w:val="none" w:sz="0" w:space="0" w:color="auto"/>
        <w:left w:val="none" w:sz="0" w:space="0" w:color="auto"/>
        <w:bottom w:val="none" w:sz="0" w:space="0" w:color="auto"/>
        <w:right w:val="none" w:sz="0" w:space="0" w:color="auto"/>
      </w:divBdr>
    </w:div>
    <w:div w:id="1373726941">
      <w:bodyDiv w:val="1"/>
      <w:marLeft w:val="0"/>
      <w:marRight w:val="0"/>
      <w:marTop w:val="0"/>
      <w:marBottom w:val="0"/>
      <w:divBdr>
        <w:top w:val="none" w:sz="0" w:space="0" w:color="auto"/>
        <w:left w:val="none" w:sz="0" w:space="0" w:color="auto"/>
        <w:bottom w:val="none" w:sz="0" w:space="0" w:color="auto"/>
        <w:right w:val="none" w:sz="0" w:space="0" w:color="auto"/>
      </w:divBdr>
    </w:div>
    <w:div w:id="1495491591">
      <w:bodyDiv w:val="1"/>
      <w:marLeft w:val="0"/>
      <w:marRight w:val="0"/>
      <w:marTop w:val="0"/>
      <w:marBottom w:val="0"/>
      <w:divBdr>
        <w:top w:val="none" w:sz="0" w:space="0" w:color="auto"/>
        <w:left w:val="none" w:sz="0" w:space="0" w:color="auto"/>
        <w:bottom w:val="none" w:sz="0" w:space="0" w:color="auto"/>
        <w:right w:val="none" w:sz="0" w:space="0" w:color="auto"/>
      </w:divBdr>
    </w:div>
    <w:div w:id="1570574816">
      <w:bodyDiv w:val="1"/>
      <w:marLeft w:val="0"/>
      <w:marRight w:val="0"/>
      <w:marTop w:val="0"/>
      <w:marBottom w:val="0"/>
      <w:divBdr>
        <w:top w:val="none" w:sz="0" w:space="0" w:color="auto"/>
        <w:left w:val="none" w:sz="0" w:space="0" w:color="auto"/>
        <w:bottom w:val="none" w:sz="0" w:space="0" w:color="auto"/>
        <w:right w:val="none" w:sz="0" w:space="0" w:color="auto"/>
      </w:divBdr>
    </w:div>
    <w:div w:id="1664163824">
      <w:bodyDiv w:val="1"/>
      <w:marLeft w:val="0"/>
      <w:marRight w:val="0"/>
      <w:marTop w:val="0"/>
      <w:marBottom w:val="0"/>
      <w:divBdr>
        <w:top w:val="none" w:sz="0" w:space="0" w:color="auto"/>
        <w:left w:val="none" w:sz="0" w:space="0" w:color="auto"/>
        <w:bottom w:val="none" w:sz="0" w:space="0" w:color="auto"/>
        <w:right w:val="none" w:sz="0" w:space="0" w:color="auto"/>
      </w:divBdr>
    </w:div>
    <w:div w:id="1933465899">
      <w:bodyDiv w:val="1"/>
      <w:marLeft w:val="0"/>
      <w:marRight w:val="0"/>
      <w:marTop w:val="0"/>
      <w:marBottom w:val="0"/>
      <w:divBdr>
        <w:top w:val="none" w:sz="0" w:space="0" w:color="auto"/>
        <w:left w:val="none" w:sz="0" w:space="0" w:color="auto"/>
        <w:bottom w:val="none" w:sz="0" w:space="0" w:color="auto"/>
        <w:right w:val="none" w:sz="0" w:space="0" w:color="auto"/>
      </w:divBdr>
    </w:div>
    <w:div w:id="205188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TAGD.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591568-1aff-4c19-a435-b3a561cba6c2">
      <Terms xmlns="http://schemas.microsoft.com/office/infopath/2007/PartnerControls"/>
    </lcf76f155ced4ddcb4097134ff3c332f>
    <TaxCatchAll xmlns="252b6cb5-52be-43cf-93af-1ea00a9224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47BEC05633394E9D4EE48D8AE38E6F" ma:contentTypeVersion="16" ma:contentTypeDescription="Create a new document." ma:contentTypeScope="" ma:versionID="84a6e6f9f8a970466f5eff29c928af2d">
  <xsd:schema xmlns:xsd="http://www.w3.org/2001/XMLSchema" xmlns:xs="http://www.w3.org/2001/XMLSchema" xmlns:p="http://schemas.microsoft.com/office/2006/metadata/properties" xmlns:ns2="2c591568-1aff-4c19-a435-b3a561cba6c2" xmlns:ns3="252b6cb5-52be-43cf-93af-1ea00a92248a" targetNamespace="http://schemas.microsoft.com/office/2006/metadata/properties" ma:root="true" ma:fieldsID="01515c4c6e4d5c425fb926d90339a5d2" ns2:_="" ns3:_="">
    <xsd:import namespace="2c591568-1aff-4c19-a435-b3a561cba6c2"/>
    <xsd:import namespace="252b6cb5-52be-43cf-93af-1ea00a9224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91568-1aff-4c19-a435-b3a561cba6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0aaa76-ae13-4c3e-a72c-a35a0acbf1b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2b6cb5-52be-43cf-93af-1ea00a92248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ffeb7e-2e68-4f11-8a2e-858e004e103c}" ma:internalName="TaxCatchAll" ma:showField="CatchAllData" ma:web="252b6cb5-52be-43cf-93af-1ea00a922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A50DB-4ADF-44F2-A3F2-CE979F6612C9}">
  <ds:schemaRefs>
    <ds:schemaRef ds:uri="http://schemas.microsoft.com/office/2006/metadata/properties"/>
    <ds:schemaRef ds:uri="http://schemas.microsoft.com/office/infopath/2007/PartnerControls"/>
    <ds:schemaRef ds:uri="2c591568-1aff-4c19-a435-b3a561cba6c2"/>
    <ds:schemaRef ds:uri="252b6cb5-52be-43cf-93af-1ea00a92248a"/>
  </ds:schemaRefs>
</ds:datastoreItem>
</file>

<file path=customXml/itemProps2.xml><?xml version="1.0" encoding="utf-8"?>
<ds:datastoreItem xmlns:ds="http://schemas.openxmlformats.org/officeDocument/2006/customXml" ds:itemID="{2CC3F21A-C10B-4FB0-B9DD-175FD6030CF1}">
  <ds:schemaRefs>
    <ds:schemaRef ds:uri="http://schemas.microsoft.com/sharepoint/v3/contenttype/forms"/>
  </ds:schemaRefs>
</ds:datastoreItem>
</file>

<file path=customXml/itemProps3.xml><?xml version="1.0" encoding="utf-8"?>
<ds:datastoreItem xmlns:ds="http://schemas.openxmlformats.org/officeDocument/2006/customXml" ds:itemID="{88478E1A-4626-47BF-95AA-D966CC3A7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91568-1aff-4c19-a435-b3a561cba6c2"/>
    <ds:schemaRef ds:uri="252b6cb5-52be-43cf-93af-1ea00a922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BFC1B7-9476-42D8-A0F1-5C5E595F1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Thompson</dc:creator>
  <cp:lastModifiedBy>David Mintz</cp:lastModifiedBy>
  <cp:revision>5</cp:revision>
  <cp:lastPrinted>2018-12-17T16:31:00Z</cp:lastPrinted>
  <dcterms:created xsi:type="dcterms:W3CDTF">2024-01-11T16:52:00Z</dcterms:created>
  <dcterms:modified xsi:type="dcterms:W3CDTF">2024-01-15T14:32:00Z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0x0101004347BEC05633394E9D4EE48D8AE38E6F</vt:lpwstr>
  </property>
  <property fmtid="{D5CDD505-2E9C-101B-9397-08002B2CF9AE}" pid="3" name="Order">
    <vt:r8>697500</vt:r8>
  </property>
</Properties>
</file>